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644" w:rsidRPr="003A1FE1" w:rsidRDefault="0025106C" w:rsidP="00F37D7B">
      <w:pPr>
        <w:pStyle w:val="af3"/>
      </w:pPr>
      <w:bookmarkStart w:id="0" w:name="_GoBack"/>
      <w:r w:rsidRPr="003A1FE1">
        <w:rPr>
          <w:rFonts w:hint="eastAsia"/>
        </w:rPr>
        <w:t>糾正案文</w:t>
      </w:r>
    </w:p>
    <w:p w:rsidR="00E25849" w:rsidRPr="003A1FE1" w:rsidRDefault="0025106C" w:rsidP="00F231DC">
      <w:pPr>
        <w:pStyle w:val="1"/>
      </w:pPr>
      <w:r w:rsidRPr="003A1FE1">
        <w:rPr>
          <w:rFonts w:hint="eastAsia"/>
        </w:rPr>
        <w:t>被糾正機關：</w:t>
      </w:r>
      <w:r w:rsidR="006F72E7" w:rsidRPr="003A1FE1">
        <w:rPr>
          <w:rFonts w:ascii="Times New Roman" w:hAnsi="Times New Roman"/>
        </w:rPr>
        <w:t>原住民族委員會</w:t>
      </w:r>
      <w:r w:rsidRPr="003A1FE1">
        <w:rPr>
          <w:rFonts w:hint="eastAsia"/>
        </w:rPr>
        <w:t>。</w:t>
      </w:r>
    </w:p>
    <w:p w:rsidR="00E25849" w:rsidRPr="003A1FE1" w:rsidRDefault="0025106C" w:rsidP="00AA5D9C">
      <w:pPr>
        <w:pStyle w:val="1"/>
        <w:ind w:left="2608" w:hanging="2608"/>
      </w:pPr>
      <w:r w:rsidRPr="003A1FE1">
        <w:rPr>
          <w:rFonts w:hint="eastAsia"/>
        </w:rPr>
        <w:t>案　　　由：</w:t>
      </w:r>
      <w:r w:rsidR="00AA5D9C" w:rsidRPr="003A1FE1">
        <w:rPr>
          <w:rFonts w:ascii="Times New Roman" w:hAnsi="Times New Roman"/>
          <w:szCs w:val="32"/>
        </w:rPr>
        <w:t>原住民取得保留地相關權利後，違法轉讓、轉租之行為，不僅嚴重悖離既有政策，違反現行法令，更衍生地權實質流失的危機，以及與非原住民</w:t>
      </w:r>
      <w:r w:rsidR="00AA5D9C" w:rsidRPr="003A1FE1">
        <w:rPr>
          <w:rFonts w:ascii="Times New Roman" w:hAnsi="Times New Roman" w:hint="eastAsia"/>
          <w:szCs w:val="32"/>
        </w:rPr>
        <w:t>之</w:t>
      </w:r>
      <w:r w:rsidR="00AA5D9C" w:rsidRPr="003A1FE1">
        <w:rPr>
          <w:rFonts w:ascii="Times New Roman" w:hAnsi="Times New Roman"/>
          <w:szCs w:val="32"/>
        </w:rPr>
        <w:t>間產權糾紛與衝突</w:t>
      </w:r>
      <w:r w:rsidR="00AA5D9C" w:rsidRPr="003A1FE1">
        <w:rPr>
          <w:rFonts w:ascii="Times New Roman" w:hAnsi="Times New Roman" w:hint="eastAsia"/>
          <w:szCs w:val="32"/>
        </w:rPr>
        <w:t>。</w:t>
      </w:r>
      <w:r w:rsidR="00AA5D9C" w:rsidRPr="003A1FE1">
        <w:rPr>
          <w:rFonts w:ascii="Times New Roman" w:hAnsi="Times New Roman"/>
          <w:szCs w:val="20"/>
        </w:rPr>
        <w:t>原住民族委員會</w:t>
      </w:r>
      <w:r w:rsidR="00AA5D9C" w:rsidRPr="003A1FE1">
        <w:rPr>
          <w:rFonts w:ascii="Times New Roman" w:hAnsi="Times New Roman"/>
          <w:szCs w:val="32"/>
        </w:rPr>
        <w:t>未能針對違法態樣，</w:t>
      </w:r>
      <w:r w:rsidR="00AA5D9C" w:rsidRPr="003A1FE1">
        <w:rPr>
          <w:rFonts w:ascii="Times New Roman" w:hAnsi="Times New Roman" w:hint="eastAsia"/>
          <w:szCs w:val="32"/>
        </w:rPr>
        <w:t>於</w:t>
      </w:r>
      <w:r w:rsidR="00AA5D9C" w:rsidRPr="003A1FE1">
        <w:rPr>
          <w:rFonts w:ascii="Times New Roman" w:hAnsi="Times New Roman"/>
          <w:szCs w:val="32"/>
        </w:rPr>
        <w:t>法制或執行面謀求改善，督導各縣市政府積極處理，且未確實建立妥善的金融配套措施，協助原住民</w:t>
      </w:r>
      <w:r w:rsidR="00AA5D9C" w:rsidRPr="003A1FE1">
        <w:rPr>
          <w:rFonts w:ascii="Times New Roman" w:hAnsi="Times New Roman" w:hint="eastAsia"/>
          <w:szCs w:val="32"/>
        </w:rPr>
        <w:t>於自己土地上，</w:t>
      </w:r>
      <w:r w:rsidR="00AA5D9C" w:rsidRPr="003A1FE1">
        <w:rPr>
          <w:rFonts w:ascii="Times New Roman" w:hAnsi="Times New Roman"/>
          <w:szCs w:val="32"/>
        </w:rPr>
        <w:t>發展產業解決生計問題</w:t>
      </w:r>
      <w:r w:rsidR="00AA5D9C" w:rsidRPr="003A1FE1">
        <w:rPr>
          <w:rFonts w:ascii="Times New Roman" w:hAnsi="Times New Roman" w:hint="eastAsia"/>
          <w:b/>
          <w:szCs w:val="32"/>
        </w:rPr>
        <w:t>，</w:t>
      </w:r>
      <w:r w:rsidR="00AA5D9C" w:rsidRPr="003A1FE1">
        <w:rPr>
          <w:rFonts w:ascii="Times New Roman" w:hAnsi="Times New Roman"/>
          <w:szCs w:val="32"/>
        </w:rPr>
        <w:t>致使該違法情形長期存在且日益嚴重</w:t>
      </w:r>
      <w:r w:rsidR="00AA5D9C" w:rsidRPr="003A1FE1">
        <w:rPr>
          <w:rFonts w:ascii="Times New Roman" w:hAnsi="Times New Roman" w:hint="eastAsia"/>
          <w:szCs w:val="32"/>
        </w:rPr>
        <w:t>，核有違失，爰依法提案糾正。</w:t>
      </w:r>
    </w:p>
    <w:p w:rsidR="00E25849" w:rsidRPr="003A1FE1" w:rsidRDefault="00DB3135" w:rsidP="00DE42B9">
      <w:pPr>
        <w:pStyle w:val="1"/>
      </w:pPr>
      <w:bookmarkStart w:id="1" w:name="_Toc524892370"/>
      <w:bookmarkStart w:id="2" w:name="_Toc524895640"/>
      <w:bookmarkStart w:id="3" w:name="_Toc524896186"/>
      <w:bookmarkStart w:id="4" w:name="_Toc524896216"/>
      <w:bookmarkStart w:id="5" w:name="_Toc524902722"/>
      <w:bookmarkStart w:id="6" w:name="_Toc525066141"/>
      <w:bookmarkStart w:id="7" w:name="_Toc525070831"/>
      <w:bookmarkStart w:id="8" w:name="_Toc525938371"/>
      <w:bookmarkStart w:id="9" w:name="_Toc525939219"/>
      <w:bookmarkStart w:id="10" w:name="_Toc525939724"/>
      <w:bookmarkStart w:id="11" w:name="_Toc529218258"/>
      <w:bookmarkStart w:id="12" w:name="_Toc529222681"/>
      <w:bookmarkStart w:id="13" w:name="_Toc529223103"/>
      <w:bookmarkStart w:id="14" w:name="_Toc529223854"/>
      <w:bookmarkStart w:id="15" w:name="_Toc529228250"/>
      <w:bookmarkStart w:id="16" w:name="_Toc2400386"/>
      <w:bookmarkStart w:id="17" w:name="_Toc4316181"/>
      <w:bookmarkStart w:id="18" w:name="_Toc4473322"/>
      <w:bookmarkStart w:id="19" w:name="_Toc69556889"/>
      <w:bookmarkStart w:id="20" w:name="_Toc69556938"/>
      <w:bookmarkStart w:id="21" w:name="_Toc69609812"/>
      <w:bookmarkStart w:id="22" w:name="_Toc70241808"/>
      <w:bookmarkStart w:id="23" w:name="_Toc70242197"/>
      <w:bookmarkStart w:id="24" w:name="_Toc421794867"/>
      <w:bookmarkStart w:id="25" w:name="_Toc422728949"/>
      <w:r w:rsidRPr="003A1FE1">
        <w:rPr>
          <w:rFonts w:hint="eastAsia"/>
        </w:rPr>
        <w:t>事實與理由：</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E310BA" w:rsidRPr="003A1FE1" w:rsidRDefault="00E310BA" w:rsidP="00E310BA">
      <w:pPr>
        <w:pStyle w:val="20"/>
        <w:ind w:leftChars="200" w:left="680" w:right="340" w:firstLine="680"/>
        <w:rPr>
          <w:rFonts w:ascii="Times New Roman"/>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5070834"/>
      <w:bookmarkStart w:id="37" w:name="_Toc525938374"/>
      <w:bookmarkStart w:id="38" w:name="_Toc525939222"/>
      <w:bookmarkStart w:id="39" w:name="_Toc525939727"/>
      <w:bookmarkStart w:id="40" w:name="_Toc525066144"/>
      <w:bookmarkStart w:id="41" w:name="_Toc524892372"/>
      <w:bookmarkEnd w:id="26"/>
      <w:bookmarkEnd w:id="27"/>
      <w:bookmarkEnd w:id="28"/>
      <w:bookmarkEnd w:id="29"/>
      <w:bookmarkEnd w:id="30"/>
      <w:bookmarkEnd w:id="31"/>
      <w:bookmarkEnd w:id="32"/>
      <w:bookmarkEnd w:id="33"/>
      <w:bookmarkEnd w:id="34"/>
      <w:bookmarkEnd w:id="35"/>
      <w:r w:rsidRPr="003A1FE1">
        <w:rPr>
          <w:rFonts w:ascii="Times New Roman"/>
        </w:rPr>
        <w:t>我國原住民保留地的政策，從民國（下同）</w:t>
      </w:r>
      <w:r w:rsidRPr="003A1FE1">
        <w:rPr>
          <w:rFonts w:ascii="Times New Roman"/>
        </w:rPr>
        <w:t>37</w:t>
      </w:r>
      <w:r w:rsidRPr="003A1FE1">
        <w:rPr>
          <w:rFonts w:ascii="Times New Roman"/>
        </w:rPr>
        <w:t>年之「臺灣省各縣山地保留地管理辦法」中預設日後解除山地保留地，至</w:t>
      </w:r>
      <w:r w:rsidRPr="003A1FE1">
        <w:rPr>
          <w:rFonts w:ascii="Times New Roman"/>
        </w:rPr>
        <w:t>49</w:t>
      </w:r>
      <w:r w:rsidRPr="003A1FE1">
        <w:rPr>
          <w:rFonts w:ascii="Times New Roman"/>
        </w:rPr>
        <w:t>年予以刪除，轉變為長期維持的制度。</w:t>
      </w:r>
      <w:r w:rsidRPr="003A1FE1">
        <w:rPr>
          <w:rFonts w:ascii="Times New Roman"/>
        </w:rPr>
        <w:t>55</w:t>
      </w:r>
      <w:r w:rsidRPr="003A1FE1">
        <w:rPr>
          <w:rFonts w:ascii="Times New Roman"/>
        </w:rPr>
        <w:t>年開始私有化政策，雖然地權型態有了重大轉變，惟政府逐漸放寬平地資本與技術進入保留地進行開發的同時，仍維持保留地所有權不得移轉予非原住民的限制，</w:t>
      </w:r>
      <w:r w:rsidRPr="003A1FE1">
        <w:rPr>
          <w:rFonts w:ascii="Times New Roman"/>
        </w:rPr>
        <w:t>75</w:t>
      </w:r>
      <w:r w:rsidRPr="003A1FE1">
        <w:rPr>
          <w:rFonts w:ascii="Times New Roman"/>
        </w:rPr>
        <w:t>年</w:t>
      </w:r>
      <w:r w:rsidRPr="003A1FE1">
        <w:rPr>
          <w:rFonts w:ascii="Times New Roman"/>
        </w:rPr>
        <w:t>1</w:t>
      </w:r>
      <w:r w:rsidRPr="003A1FE1">
        <w:rPr>
          <w:rFonts w:ascii="Times New Roman"/>
        </w:rPr>
        <w:t>月</w:t>
      </w:r>
      <w:r w:rsidRPr="003A1FE1">
        <w:rPr>
          <w:rFonts w:ascii="Times New Roman"/>
        </w:rPr>
        <w:t>10</w:t>
      </w:r>
      <w:r w:rsidRPr="003A1FE1">
        <w:rPr>
          <w:rFonts w:ascii="Times New Roman"/>
        </w:rPr>
        <w:t>日修正之山坡地保育利用條例第</w:t>
      </w:r>
      <w:r w:rsidRPr="003A1FE1">
        <w:rPr>
          <w:rFonts w:ascii="Times New Roman"/>
        </w:rPr>
        <w:t>37</w:t>
      </w:r>
      <w:r w:rsidRPr="003A1FE1">
        <w:rPr>
          <w:rFonts w:ascii="Times New Roman"/>
        </w:rPr>
        <w:t>條規定：「山坡地範圍內山地保留地，輔導原住民開發並取得耕作權、地上權或承租權。其耕作權、地上權繼續經營滿五年者，無償取得土地所有權，除政府指定之特定用途外，如有移轉，以原住民為限；其開發管理辦法，由行政院定之。」其立法理由</w:t>
      </w:r>
      <w:r w:rsidRPr="003A1FE1">
        <w:rPr>
          <w:rStyle w:val="afe"/>
          <w:rFonts w:ascii="Times New Roman"/>
        </w:rPr>
        <w:footnoteReference w:id="1"/>
      </w:r>
      <w:r w:rsidRPr="003A1FE1">
        <w:rPr>
          <w:rFonts w:ascii="Times New Roman"/>
        </w:rPr>
        <w:t>即已明白指出，原住民保留地旨在保障原住民權益，若非原</w:t>
      </w:r>
      <w:r w:rsidRPr="003A1FE1">
        <w:rPr>
          <w:rFonts w:ascii="Times New Roman"/>
        </w:rPr>
        <w:lastRenderedPageBreak/>
        <w:t>住民挾經濟之優勢，大肆取得原住民保留地，則原住民必無法與之抗衡，致使生活失去保障，故其移轉時以原住民為限，但政府對某些原住民保留地，若欲作更有效之利用時，如開發為觀光遊覽地區等，又常非原住民財力所能及，乃不得不作除外之規定。</w:t>
      </w:r>
      <w:r w:rsidRPr="003A1FE1">
        <w:rPr>
          <w:rFonts w:ascii="Times New Roman"/>
        </w:rPr>
        <w:t xml:space="preserve"> </w:t>
      </w:r>
    </w:p>
    <w:p w:rsidR="00E310BA" w:rsidRPr="003A1FE1" w:rsidRDefault="00E310BA" w:rsidP="00E310BA">
      <w:pPr>
        <w:pStyle w:val="20"/>
        <w:ind w:leftChars="200" w:left="680" w:right="340" w:firstLine="680"/>
        <w:rPr>
          <w:rFonts w:ascii="Times New Roman"/>
        </w:rPr>
      </w:pPr>
      <w:r w:rsidRPr="003A1FE1">
        <w:rPr>
          <w:rFonts w:ascii="Times New Roman"/>
        </w:rPr>
        <w:t>行政院依山坡地保育利用條例授權，於</w:t>
      </w:r>
      <w:r w:rsidRPr="003A1FE1">
        <w:rPr>
          <w:rFonts w:ascii="Times New Roman"/>
        </w:rPr>
        <w:t>79</w:t>
      </w:r>
      <w:r w:rsidRPr="003A1FE1">
        <w:rPr>
          <w:rFonts w:ascii="Times New Roman"/>
        </w:rPr>
        <w:t>年</w:t>
      </w:r>
      <w:r w:rsidRPr="003A1FE1">
        <w:rPr>
          <w:rFonts w:ascii="Times New Roman"/>
        </w:rPr>
        <w:t>3</w:t>
      </w:r>
      <w:r w:rsidRPr="003A1FE1">
        <w:rPr>
          <w:rFonts w:ascii="Times New Roman"/>
        </w:rPr>
        <w:t>月</w:t>
      </w:r>
      <w:r w:rsidRPr="003A1FE1">
        <w:rPr>
          <w:rFonts w:ascii="Times New Roman"/>
        </w:rPr>
        <w:t>26</w:t>
      </w:r>
      <w:r w:rsidRPr="003A1FE1">
        <w:rPr>
          <w:rFonts w:ascii="Times New Roman"/>
        </w:rPr>
        <w:t>日訂定發布「</w:t>
      </w:r>
      <w:hyperlink r:id="rId9" w:history="1">
        <w:r w:rsidRPr="003A1FE1">
          <w:rPr>
            <w:rStyle w:val="af"/>
            <w:rFonts w:ascii="Times New Roman"/>
            <w:color w:val="auto"/>
            <w:u w:val="none"/>
          </w:rPr>
          <w:t>原住民保留地開發管理辦法</w:t>
        </w:r>
      </w:hyperlink>
      <w:r w:rsidRPr="003A1FE1">
        <w:rPr>
          <w:rFonts w:ascii="Times New Roman"/>
        </w:rPr>
        <w:t>」</w:t>
      </w:r>
      <w:r w:rsidRPr="003A1FE1">
        <w:rPr>
          <w:rStyle w:val="afe"/>
          <w:rFonts w:ascii="Times New Roman"/>
        </w:rPr>
        <w:footnoteReference w:id="2"/>
      </w:r>
      <w:r w:rsidRPr="003A1FE1">
        <w:rPr>
          <w:rFonts w:ascii="Times New Roman"/>
        </w:rPr>
        <w:t>，除於第</w:t>
      </w:r>
      <w:r w:rsidRPr="003A1FE1">
        <w:rPr>
          <w:rFonts w:ascii="Times New Roman"/>
        </w:rPr>
        <w:t>2</w:t>
      </w:r>
      <w:r w:rsidRPr="003A1FE1">
        <w:rPr>
          <w:rFonts w:ascii="Times New Roman"/>
        </w:rPr>
        <w:t>條明定中央主管機關為</w:t>
      </w:r>
      <w:r w:rsidR="006F72E7" w:rsidRPr="003A1FE1">
        <w:rPr>
          <w:rFonts w:ascii="Times New Roman"/>
        </w:rPr>
        <w:t>原住民族委員會</w:t>
      </w:r>
      <w:r w:rsidR="00121031" w:rsidRPr="003A1FE1">
        <w:rPr>
          <w:rFonts w:ascii="Times New Roman"/>
        </w:rPr>
        <w:t>(</w:t>
      </w:r>
      <w:r w:rsidR="00121031" w:rsidRPr="003A1FE1">
        <w:rPr>
          <w:rFonts w:ascii="Times New Roman"/>
        </w:rPr>
        <w:t>下稱原民會</w:t>
      </w:r>
      <w:r w:rsidR="00121031" w:rsidRPr="003A1FE1">
        <w:rPr>
          <w:rFonts w:ascii="Times New Roman"/>
        </w:rPr>
        <w:t>)</w:t>
      </w:r>
      <w:r w:rsidRPr="003A1FE1">
        <w:rPr>
          <w:rFonts w:ascii="Times New Roman"/>
        </w:rPr>
        <w:t>外，並於該辦法第二章</w:t>
      </w:r>
      <w:r w:rsidRPr="003A1FE1">
        <w:rPr>
          <w:rFonts w:ascii="Times New Roman"/>
        </w:rPr>
        <w:t>(</w:t>
      </w:r>
      <w:r w:rsidRPr="003A1FE1">
        <w:rPr>
          <w:rFonts w:ascii="Times New Roman"/>
        </w:rPr>
        <w:t>土地管理</w:t>
      </w:r>
      <w:r w:rsidRPr="003A1FE1">
        <w:rPr>
          <w:rFonts w:ascii="Times New Roman"/>
        </w:rPr>
        <w:t>)</w:t>
      </w:r>
      <w:r w:rsidRPr="003A1FE1">
        <w:rPr>
          <w:rFonts w:ascii="Times New Roman"/>
        </w:rPr>
        <w:t>中規定原民會應會同有關機關輔導原住民設定原住民保留地之耕作權、地上權及取得承租權、所有權</w:t>
      </w:r>
      <w:r w:rsidRPr="003A1FE1">
        <w:rPr>
          <w:rFonts w:ascii="Times New Roman"/>
        </w:rPr>
        <w:t>(</w:t>
      </w:r>
      <w:r w:rsidRPr="003A1FE1">
        <w:rPr>
          <w:rFonts w:ascii="Times New Roman"/>
        </w:rPr>
        <w:t>第</w:t>
      </w:r>
      <w:r w:rsidRPr="003A1FE1">
        <w:rPr>
          <w:rFonts w:ascii="Times New Roman"/>
        </w:rPr>
        <w:t>7</w:t>
      </w:r>
      <w:r w:rsidRPr="003A1FE1">
        <w:rPr>
          <w:rFonts w:ascii="Times New Roman"/>
        </w:rPr>
        <w:t>條</w:t>
      </w:r>
      <w:r w:rsidRPr="003A1FE1">
        <w:rPr>
          <w:rFonts w:ascii="Times New Roman"/>
        </w:rPr>
        <w:t>)</w:t>
      </w:r>
      <w:r w:rsidRPr="003A1FE1">
        <w:rPr>
          <w:rFonts w:ascii="Times New Roman"/>
        </w:rPr>
        <w:t>；原住民取得原住民保留地之耕作權、地上權、承租權或無償使用權，除繼承或贈與於得為繼承之原住民、原受配戶內之原住民或三親等內之原住民外，不得轉讓或出租</w:t>
      </w:r>
      <w:r w:rsidRPr="003A1FE1">
        <w:rPr>
          <w:rFonts w:ascii="Times New Roman"/>
        </w:rPr>
        <w:t>(</w:t>
      </w:r>
      <w:r w:rsidRPr="003A1FE1">
        <w:rPr>
          <w:rFonts w:ascii="Times New Roman"/>
        </w:rPr>
        <w:t>第</w:t>
      </w:r>
      <w:r w:rsidRPr="003A1FE1">
        <w:rPr>
          <w:rFonts w:ascii="Times New Roman"/>
        </w:rPr>
        <w:t>15</w:t>
      </w:r>
      <w:r w:rsidRPr="003A1FE1">
        <w:rPr>
          <w:rFonts w:ascii="Times New Roman"/>
        </w:rPr>
        <w:t>條第</w:t>
      </w:r>
      <w:r w:rsidRPr="003A1FE1">
        <w:rPr>
          <w:rFonts w:ascii="Times New Roman"/>
        </w:rPr>
        <w:t>1</w:t>
      </w:r>
      <w:r w:rsidRPr="003A1FE1">
        <w:rPr>
          <w:rFonts w:ascii="Times New Roman"/>
        </w:rPr>
        <w:t>項</w:t>
      </w:r>
      <w:r w:rsidRPr="003A1FE1">
        <w:rPr>
          <w:rFonts w:ascii="Times New Roman"/>
        </w:rPr>
        <w:t>)</w:t>
      </w:r>
      <w:r w:rsidRPr="003A1FE1">
        <w:rPr>
          <w:rFonts w:ascii="Times New Roman"/>
        </w:rPr>
        <w:t>；違反前項規定者，除得由鄉</w:t>
      </w:r>
      <w:r w:rsidRPr="003A1FE1">
        <w:rPr>
          <w:rFonts w:ascii="Times New Roman"/>
        </w:rPr>
        <w:t>(</w:t>
      </w:r>
      <w:r w:rsidRPr="003A1FE1">
        <w:rPr>
          <w:rFonts w:ascii="Times New Roman"/>
        </w:rPr>
        <w:t>鎮、市、區</w:t>
      </w:r>
      <w:r w:rsidRPr="003A1FE1">
        <w:rPr>
          <w:rFonts w:ascii="Times New Roman"/>
        </w:rPr>
        <w:t>)</w:t>
      </w:r>
      <w:r w:rsidRPr="003A1FE1">
        <w:rPr>
          <w:rFonts w:ascii="Times New Roman"/>
        </w:rPr>
        <w:t>公所收回原住民保留地外，已為耕作權或地上權登記者，訴請法院塗銷登記、租用或無償使用者，終止其契約</w:t>
      </w:r>
      <w:r w:rsidRPr="003A1FE1">
        <w:rPr>
          <w:rFonts w:ascii="Times New Roman"/>
        </w:rPr>
        <w:t>(</w:t>
      </w:r>
      <w:r w:rsidRPr="003A1FE1">
        <w:rPr>
          <w:rFonts w:ascii="Times New Roman"/>
        </w:rPr>
        <w:t>第</w:t>
      </w:r>
      <w:r w:rsidRPr="003A1FE1">
        <w:rPr>
          <w:rFonts w:ascii="Times New Roman"/>
        </w:rPr>
        <w:t>16</w:t>
      </w:r>
      <w:r w:rsidRPr="003A1FE1">
        <w:rPr>
          <w:rFonts w:ascii="Times New Roman"/>
        </w:rPr>
        <w:t>條</w:t>
      </w:r>
      <w:r w:rsidRPr="003A1FE1">
        <w:rPr>
          <w:rFonts w:ascii="Times New Roman"/>
        </w:rPr>
        <w:t>)</w:t>
      </w:r>
      <w:r w:rsidRPr="003A1FE1">
        <w:rPr>
          <w:rFonts w:ascii="Times New Roman"/>
        </w:rPr>
        <w:t>；取得耕作權或地上權登記後繼續自行經營或自用滿</w:t>
      </w:r>
      <w:r w:rsidRPr="003A1FE1">
        <w:rPr>
          <w:rFonts w:ascii="Times New Roman"/>
        </w:rPr>
        <w:t>5</w:t>
      </w:r>
      <w:r w:rsidRPr="003A1FE1">
        <w:rPr>
          <w:rFonts w:ascii="Times New Roman"/>
        </w:rPr>
        <w:t>年，經查明屬實者，由中央主管機關會同耕作權人或地上權人，向當地登記機關申請辦理所有權移轉登記</w:t>
      </w:r>
      <w:r w:rsidRPr="003A1FE1">
        <w:rPr>
          <w:rFonts w:ascii="Times New Roman"/>
        </w:rPr>
        <w:t>(</w:t>
      </w:r>
      <w:r w:rsidRPr="003A1FE1">
        <w:rPr>
          <w:rFonts w:ascii="Times New Roman"/>
        </w:rPr>
        <w:t>第</w:t>
      </w:r>
      <w:r w:rsidRPr="003A1FE1">
        <w:rPr>
          <w:rFonts w:ascii="Times New Roman"/>
        </w:rPr>
        <w:t>17</w:t>
      </w:r>
      <w:r w:rsidRPr="003A1FE1">
        <w:rPr>
          <w:rFonts w:ascii="Times New Roman"/>
        </w:rPr>
        <w:t>條第</w:t>
      </w:r>
      <w:r w:rsidRPr="003A1FE1">
        <w:rPr>
          <w:rFonts w:ascii="Times New Roman"/>
        </w:rPr>
        <w:t>1</w:t>
      </w:r>
      <w:r w:rsidRPr="003A1FE1">
        <w:rPr>
          <w:rFonts w:ascii="Times New Roman"/>
        </w:rPr>
        <w:t>項</w:t>
      </w:r>
      <w:r w:rsidRPr="003A1FE1">
        <w:rPr>
          <w:rFonts w:ascii="Times New Roman"/>
        </w:rPr>
        <w:t>)</w:t>
      </w:r>
      <w:r w:rsidRPr="003A1FE1">
        <w:rPr>
          <w:rFonts w:ascii="Times New Roman"/>
        </w:rPr>
        <w:t>；原住民取得原住民保留地所有權後，除政府指定之特定用途外，其移轉之承受人以原住民為限</w:t>
      </w:r>
      <w:r w:rsidRPr="003A1FE1">
        <w:rPr>
          <w:rFonts w:ascii="Times New Roman"/>
        </w:rPr>
        <w:t>(</w:t>
      </w:r>
      <w:r w:rsidRPr="003A1FE1">
        <w:rPr>
          <w:rFonts w:ascii="Times New Roman"/>
        </w:rPr>
        <w:t>第</w:t>
      </w:r>
      <w:r w:rsidRPr="003A1FE1">
        <w:rPr>
          <w:rFonts w:ascii="Times New Roman"/>
        </w:rPr>
        <w:t>18</w:t>
      </w:r>
      <w:r w:rsidRPr="003A1FE1">
        <w:rPr>
          <w:rFonts w:ascii="Times New Roman"/>
        </w:rPr>
        <w:t>條第</w:t>
      </w:r>
      <w:r w:rsidRPr="003A1FE1">
        <w:rPr>
          <w:rFonts w:ascii="Times New Roman"/>
        </w:rPr>
        <w:t>1</w:t>
      </w:r>
      <w:r w:rsidRPr="003A1FE1">
        <w:rPr>
          <w:rFonts w:ascii="Times New Roman"/>
        </w:rPr>
        <w:t>項</w:t>
      </w:r>
      <w:r w:rsidRPr="003A1FE1">
        <w:rPr>
          <w:rFonts w:ascii="Times New Roman"/>
        </w:rPr>
        <w:t>)</w:t>
      </w:r>
      <w:r w:rsidRPr="003A1FE1">
        <w:rPr>
          <w:rFonts w:ascii="Times New Roman"/>
        </w:rPr>
        <w:t>。故我國現行原住民保留地政策，除了政府指定之特定用途，得開放由非原住民開發外，應由原住民使用，並取得其所有權。亦即原住民保留地之耕作權、地上權、承租權或無償使用權，應供原住民申請並作相關用途使用，且耕作權及地上權登記後繼續自行經營或自用滿</w:t>
      </w:r>
      <w:r w:rsidRPr="003A1FE1">
        <w:rPr>
          <w:rFonts w:ascii="Times New Roman"/>
        </w:rPr>
        <w:t>5</w:t>
      </w:r>
      <w:r w:rsidRPr="003A1FE1">
        <w:rPr>
          <w:rFonts w:ascii="Times New Roman"/>
        </w:rPr>
        <w:t>年後，原住</w:t>
      </w:r>
      <w:r w:rsidRPr="003A1FE1">
        <w:rPr>
          <w:rFonts w:ascii="Times New Roman"/>
        </w:rPr>
        <w:lastRenderedPageBreak/>
        <w:t>民得申請辦理所有權移轉登記，承租權及無償使用權則由原住民依使用期間作使用。</w:t>
      </w:r>
    </w:p>
    <w:p w:rsidR="00E310BA" w:rsidRPr="003A1FE1" w:rsidRDefault="00E310BA" w:rsidP="00E310BA">
      <w:pPr>
        <w:pStyle w:val="20"/>
        <w:ind w:leftChars="200" w:left="680" w:right="340" w:firstLine="680"/>
        <w:rPr>
          <w:rFonts w:ascii="Times New Roman"/>
        </w:rPr>
      </w:pPr>
      <w:r w:rsidRPr="003A1FE1">
        <w:rPr>
          <w:rFonts w:ascii="Times New Roman"/>
        </w:rPr>
        <w:t>我國現有原住民保留地總面積為</w:t>
      </w:r>
      <w:r w:rsidRPr="003A1FE1">
        <w:rPr>
          <w:rFonts w:ascii="Times New Roman"/>
        </w:rPr>
        <w:t>26.27</w:t>
      </w:r>
      <w:r w:rsidRPr="003A1FE1">
        <w:rPr>
          <w:rFonts w:ascii="Times New Roman"/>
        </w:rPr>
        <w:t>萬餘公頃，其中建地約</w:t>
      </w:r>
      <w:r w:rsidRPr="003A1FE1">
        <w:rPr>
          <w:rFonts w:ascii="Times New Roman"/>
        </w:rPr>
        <w:t>0.16</w:t>
      </w:r>
      <w:r w:rsidRPr="003A1FE1">
        <w:rPr>
          <w:rFonts w:ascii="Times New Roman"/>
        </w:rPr>
        <w:t>萬公頃，占</w:t>
      </w:r>
      <w:r w:rsidRPr="003A1FE1">
        <w:rPr>
          <w:rFonts w:ascii="Times New Roman"/>
        </w:rPr>
        <w:t>0.61</w:t>
      </w:r>
      <w:r w:rsidRPr="003A1FE1">
        <w:rPr>
          <w:rFonts w:ascii="Times New Roman"/>
        </w:rPr>
        <w:t>％；農牧用地約</w:t>
      </w:r>
      <w:r w:rsidRPr="003A1FE1">
        <w:rPr>
          <w:rFonts w:ascii="Times New Roman"/>
        </w:rPr>
        <w:t>7.52</w:t>
      </w:r>
      <w:r w:rsidRPr="003A1FE1">
        <w:rPr>
          <w:rFonts w:ascii="Times New Roman"/>
        </w:rPr>
        <w:t>萬公頃，</w:t>
      </w:r>
      <w:r w:rsidRPr="003A1FE1">
        <w:rPr>
          <w:rFonts w:ascii="Times New Roman"/>
        </w:rPr>
        <w:tab/>
      </w:r>
      <w:r w:rsidRPr="003A1FE1">
        <w:rPr>
          <w:rFonts w:ascii="Times New Roman"/>
        </w:rPr>
        <w:t>占</w:t>
      </w:r>
      <w:r w:rsidRPr="003A1FE1">
        <w:rPr>
          <w:rFonts w:ascii="Times New Roman"/>
        </w:rPr>
        <w:t>28.63</w:t>
      </w:r>
      <w:r w:rsidRPr="003A1FE1">
        <w:rPr>
          <w:rFonts w:ascii="Times New Roman"/>
        </w:rPr>
        <w:t>％；林業用地約</w:t>
      </w:r>
      <w:r w:rsidRPr="003A1FE1">
        <w:rPr>
          <w:rFonts w:ascii="Times New Roman"/>
        </w:rPr>
        <w:t>17.06</w:t>
      </w:r>
      <w:r w:rsidRPr="003A1FE1">
        <w:rPr>
          <w:rFonts w:ascii="Times New Roman"/>
        </w:rPr>
        <w:t>萬公頃，占</w:t>
      </w:r>
      <w:r w:rsidRPr="003A1FE1">
        <w:rPr>
          <w:rFonts w:ascii="Times New Roman"/>
        </w:rPr>
        <w:t>64.94</w:t>
      </w:r>
      <w:r w:rsidRPr="003A1FE1">
        <w:rPr>
          <w:rFonts w:ascii="Times New Roman"/>
        </w:rPr>
        <w:t>％；其他</w:t>
      </w:r>
      <w:r w:rsidRPr="003A1FE1">
        <w:rPr>
          <w:rFonts w:ascii="Times New Roman"/>
        </w:rPr>
        <w:t>(</w:t>
      </w:r>
      <w:r w:rsidRPr="003A1FE1">
        <w:rPr>
          <w:rFonts w:ascii="Times New Roman"/>
        </w:rPr>
        <w:t>交通、特定目的、水利、國土保安等</w:t>
      </w:r>
      <w:r w:rsidRPr="003A1FE1">
        <w:rPr>
          <w:rFonts w:ascii="Times New Roman"/>
        </w:rPr>
        <w:t>)</w:t>
      </w:r>
      <w:r w:rsidRPr="003A1FE1">
        <w:rPr>
          <w:rFonts w:ascii="Times New Roman"/>
        </w:rPr>
        <w:t>約</w:t>
      </w:r>
      <w:r w:rsidRPr="003A1FE1">
        <w:rPr>
          <w:rFonts w:ascii="Times New Roman"/>
        </w:rPr>
        <w:t>1.53</w:t>
      </w:r>
      <w:r w:rsidRPr="003A1FE1">
        <w:rPr>
          <w:rFonts w:ascii="Times New Roman"/>
        </w:rPr>
        <w:t>萬公頃，占</w:t>
      </w:r>
      <w:r w:rsidRPr="003A1FE1">
        <w:rPr>
          <w:rFonts w:ascii="Times New Roman"/>
        </w:rPr>
        <w:t>5.82</w:t>
      </w:r>
      <w:r w:rsidRPr="003A1FE1">
        <w:rPr>
          <w:rFonts w:ascii="Times New Roman"/>
        </w:rPr>
        <w:t>％，如表</w:t>
      </w:r>
      <w:r w:rsidRPr="003A1FE1">
        <w:rPr>
          <w:rFonts w:ascii="Times New Roman"/>
        </w:rPr>
        <w:t>1</w:t>
      </w:r>
      <w:r w:rsidRPr="003A1FE1">
        <w:rPr>
          <w:rFonts w:ascii="Times New Roman"/>
        </w:rPr>
        <w:t>。其中，經</w:t>
      </w:r>
      <w:r w:rsidRPr="003A1FE1">
        <w:rPr>
          <w:rFonts w:ascii="Times New Roman"/>
          <w:szCs w:val="32"/>
        </w:rPr>
        <w:t>原住民取得所有權者約</w:t>
      </w:r>
      <w:r w:rsidRPr="003A1FE1">
        <w:rPr>
          <w:rFonts w:ascii="Times New Roman"/>
          <w:szCs w:val="32"/>
        </w:rPr>
        <w:t>9.34</w:t>
      </w:r>
      <w:r w:rsidRPr="003A1FE1">
        <w:rPr>
          <w:rFonts w:ascii="Times New Roman"/>
          <w:szCs w:val="32"/>
        </w:rPr>
        <w:t>萬公頃，占</w:t>
      </w:r>
      <w:r w:rsidRPr="003A1FE1">
        <w:rPr>
          <w:rFonts w:ascii="Times New Roman"/>
          <w:szCs w:val="32"/>
        </w:rPr>
        <w:t>35.55</w:t>
      </w:r>
      <w:r w:rsidRPr="003A1FE1">
        <w:rPr>
          <w:rFonts w:ascii="Times New Roman"/>
          <w:szCs w:val="32"/>
        </w:rPr>
        <w:t>％；原住民取得他項權利者約</w:t>
      </w:r>
      <w:r w:rsidRPr="003A1FE1">
        <w:rPr>
          <w:rFonts w:ascii="Times New Roman"/>
          <w:szCs w:val="32"/>
        </w:rPr>
        <w:t>2.59</w:t>
      </w:r>
      <w:r w:rsidRPr="003A1FE1">
        <w:rPr>
          <w:rFonts w:ascii="Times New Roman"/>
          <w:szCs w:val="32"/>
        </w:rPr>
        <w:t>萬，占</w:t>
      </w:r>
      <w:r w:rsidRPr="003A1FE1">
        <w:rPr>
          <w:rFonts w:ascii="Times New Roman"/>
          <w:szCs w:val="32"/>
        </w:rPr>
        <w:tab/>
        <w:t>9.86</w:t>
      </w:r>
      <w:r w:rsidRPr="003A1FE1">
        <w:rPr>
          <w:rFonts w:ascii="Times New Roman"/>
          <w:szCs w:val="32"/>
        </w:rPr>
        <w:t>％；出租者約</w:t>
      </w:r>
      <w:r w:rsidRPr="003A1FE1">
        <w:rPr>
          <w:rFonts w:ascii="Times New Roman"/>
          <w:szCs w:val="32"/>
        </w:rPr>
        <w:t>0.88</w:t>
      </w:r>
      <w:r w:rsidRPr="003A1FE1">
        <w:rPr>
          <w:rFonts w:ascii="Times New Roman"/>
          <w:szCs w:val="32"/>
        </w:rPr>
        <w:t>萬公頃，占</w:t>
      </w:r>
      <w:r w:rsidRPr="003A1FE1">
        <w:rPr>
          <w:rFonts w:ascii="Times New Roman"/>
          <w:szCs w:val="32"/>
        </w:rPr>
        <w:t>3.35</w:t>
      </w:r>
      <w:r w:rsidRPr="003A1FE1">
        <w:rPr>
          <w:rFonts w:ascii="Times New Roman"/>
          <w:szCs w:val="32"/>
        </w:rPr>
        <w:t>％；撥</w:t>
      </w:r>
      <w:r w:rsidRPr="003A1FE1">
        <w:rPr>
          <w:rFonts w:ascii="Times New Roman"/>
          <w:szCs w:val="32"/>
        </w:rPr>
        <w:t>(</w:t>
      </w:r>
      <w:r w:rsidRPr="003A1FE1">
        <w:rPr>
          <w:rFonts w:ascii="Times New Roman"/>
          <w:szCs w:val="32"/>
        </w:rPr>
        <w:t>使</w:t>
      </w:r>
      <w:r w:rsidRPr="003A1FE1">
        <w:rPr>
          <w:rFonts w:ascii="Times New Roman"/>
          <w:szCs w:val="32"/>
        </w:rPr>
        <w:t>)</w:t>
      </w:r>
      <w:r w:rsidRPr="003A1FE1">
        <w:rPr>
          <w:rFonts w:ascii="Times New Roman"/>
          <w:szCs w:val="32"/>
        </w:rPr>
        <w:t>用者約</w:t>
      </w:r>
      <w:r w:rsidRPr="003A1FE1">
        <w:rPr>
          <w:rFonts w:ascii="Times New Roman"/>
          <w:szCs w:val="32"/>
        </w:rPr>
        <w:t>0.65</w:t>
      </w:r>
      <w:r w:rsidRPr="003A1FE1">
        <w:rPr>
          <w:rFonts w:ascii="Times New Roman"/>
          <w:szCs w:val="32"/>
        </w:rPr>
        <w:t>萬公頃，占</w:t>
      </w:r>
      <w:r w:rsidRPr="003A1FE1">
        <w:rPr>
          <w:rFonts w:ascii="Times New Roman"/>
          <w:szCs w:val="32"/>
        </w:rPr>
        <w:t>2.48</w:t>
      </w:r>
      <w:r w:rsidRPr="003A1FE1">
        <w:rPr>
          <w:rFonts w:ascii="Times New Roman"/>
          <w:szCs w:val="32"/>
        </w:rPr>
        <w:t>％；其他</w:t>
      </w:r>
      <w:r w:rsidRPr="003A1FE1">
        <w:rPr>
          <w:rFonts w:ascii="Times New Roman"/>
          <w:szCs w:val="32"/>
        </w:rPr>
        <w:t>(</w:t>
      </w:r>
      <w:r w:rsidRPr="003A1FE1">
        <w:rPr>
          <w:rFonts w:ascii="Times New Roman"/>
          <w:szCs w:val="32"/>
        </w:rPr>
        <w:t>未分配、被占用、無使用等</w:t>
      </w:r>
      <w:r w:rsidRPr="003A1FE1">
        <w:rPr>
          <w:rFonts w:ascii="Times New Roman"/>
          <w:szCs w:val="32"/>
        </w:rPr>
        <w:t>)</w:t>
      </w:r>
      <w:r w:rsidRPr="003A1FE1">
        <w:rPr>
          <w:rFonts w:ascii="Times New Roman"/>
          <w:szCs w:val="32"/>
        </w:rPr>
        <w:t>約</w:t>
      </w:r>
      <w:r w:rsidRPr="003A1FE1">
        <w:rPr>
          <w:rFonts w:ascii="Times New Roman"/>
          <w:szCs w:val="32"/>
        </w:rPr>
        <w:t>12.81</w:t>
      </w:r>
      <w:r w:rsidRPr="003A1FE1">
        <w:rPr>
          <w:rFonts w:ascii="Times New Roman"/>
          <w:szCs w:val="32"/>
        </w:rPr>
        <w:t>萬公頃，占</w:t>
      </w:r>
      <w:r w:rsidRPr="003A1FE1">
        <w:rPr>
          <w:rFonts w:ascii="Times New Roman"/>
          <w:szCs w:val="32"/>
        </w:rPr>
        <w:t>48.76</w:t>
      </w:r>
      <w:r w:rsidRPr="003A1FE1">
        <w:rPr>
          <w:rFonts w:ascii="Times New Roman"/>
          <w:szCs w:val="32"/>
        </w:rPr>
        <w:t>％，如表</w:t>
      </w:r>
      <w:r w:rsidRPr="003A1FE1">
        <w:rPr>
          <w:rFonts w:ascii="Times New Roman"/>
          <w:szCs w:val="32"/>
        </w:rPr>
        <w:t>2</w:t>
      </w:r>
      <w:r w:rsidRPr="003A1FE1">
        <w:rPr>
          <w:rFonts w:ascii="Times New Roman"/>
          <w:szCs w:val="32"/>
        </w:rPr>
        <w:t>。</w:t>
      </w:r>
    </w:p>
    <w:p w:rsidR="00E310BA" w:rsidRPr="003A1FE1" w:rsidRDefault="00E310BA" w:rsidP="00E310BA">
      <w:pPr>
        <w:pStyle w:val="1"/>
        <w:numPr>
          <w:ilvl w:val="0"/>
          <w:numId w:val="0"/>
        </w:numPr>
        <w:jc w:val="center"/>
        <w:rPr>
          <w:rFonts w:ascii="Times New Roman" w:hAnsi="Times New Roman"/>
          <w:szCs w:val="32"/>
        </w:rPr>
      </w:pPr>
      <w:r w:rsidRPr="003A1FE1">
        <w:rPr>
          <w:rFonts w:ascii="Times New Roman" w:hAnsi="Times New Roman"/>
          <w:szCs w:val="32"/>
        </w:rPr>
        <w:t>表</w:t>
      </w:r>
      <w:r w:rsidRPr="003A1FE1">
        <w:rPr>
          <w:rFonts w:ascii="Times New Roman" w:hAnsi="Times New Roman"/>
          <w:szCs w:val="32"/>
        </w:rPr>
        <w:t xml:space="preserve">1 </w:t>
      </w:r>
      <w:r w:rsidRPr="003A1FE1">
        <w:rPr>
          <w:rFonts w:ascii="Times New Roman" w:hAnsi="Times New Roman"/>
          <w:szCs w:val="32"/>
        </w:rPr>
        <w:t>原住民保留地面積表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tblPr>
      <w:tblGrid>
        <w:gridCol w:w="2694"/>
        <w:gridCol w:w="3118"/>
        <w:gridCol w:w="2693"/>
      </w:tblGrid>
      <w:tr w:rsidR="003A1FE1" w:rsidRPr="003A1FE1" w:rsidTr="00EF1C33">
        <w:trPr>
          <w:trHeight w:val="525"/>
          <w:tblHeader/>
          <w:jc w:val="center"/>
        </w:trPr>
        <w:tc>
          <w:tcPr>
            <w:tcW w:w="2694"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jc w:val="center"/>
              <w:rPr>
                <w:rFonts w:ascii="Times New Roman" w:hAnsi="Times New Roman"/>
                <w:sz w:val="28"/>
                <w:szCs w:val="28"/>
              </w:rPr>
            </w:pPr>
            <w:r w:rsidRPr="003A1FE1">
              <w:rPr>
                <w:rFonts w:ascii="Times New Roman" w:hAnsi="Times New Roman"/>
                <w:sz w:val="28"/>
                <w:szCs w:val="28"/>
              </w:rPr>
              <w:t>使用情形</w:t>
            </w:r>
          </w:p>
        </w:tc>
        <w:tc>
          <w:tcPr>
            <w:tcW w:w="3118"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jc w:val="center"/>
              <w:rPr>
                <w:rFonts w:ascii="Times New Roman" w:hAnsi="Times New Roman"/>
                <w:sz w:val="28"/>
                <w:szCs w:val="28"/>
              </w:rPr>
            </w:pPr>
            <w:r w:rsidRPr="003A1FE1">
              <w:rPr>
                <w:rFonts w:ascii="Times New Roman" w:hAnsi="Times New Roman"/>
                <w:sz w:val="28"/>
                <w:szCs w:val="28"/>
              </w:rPr>
              <w:t>面積</w:t>
            </w:r>
            <w:r w:rsidRPr="003A1FE1">
              <w:rPr>
                <w:rFonts w:ascii="Times New Roman" w:hAnsi="Times New Roman"/>
                <w:sz w:val="28"/>
                <w:szCs w:val="28"/>
              </w:rPr>
              <w:t>(</w:t>
            </w:r>
            <w:r w:rsidRPr="003A1FE1">
              <w:rPr>
                <w:rFonts w:ascii="Times New Roman" w:hAnsi="Times New Roman"/>
                <w:sz w:val="28"/>
                <w:szCs w:val="28"/>
              </w:rPr>
              <w:t>公頃</w:t>
            </w:r>
            <w:r w:rsidRPr="003A1FE1">
              <w:rPr>
                <w:rFonts w:ascii="Times New Roman" w:hAnsi="Times New Roman"/>
                <w:sz w:val="28"/>
                <w:szCs w:val="28"/>
              </w:rPr>
              <w:t>)</w:t>
            </w:r>
          </w:p>
        </w:tc>
        <w:tc>
          <w:tcPr>
            <w:tcW w:w="2693"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jc w:val="center"/>
              <w:rPr>
                <w:rFonts w:ascii="Times New Roman" w:hAnsi="Times New Roman"/>
                <w:sz w:val="28"/>
                <w:szCs w:val="28"/>
              </w:rPr>
            </w:pPr>
            <w:r w:rsidRPr="003A1FE1">
              <w:rPr>
                <w:rFonts w:ascii="Times New Roman" w:hAnsi="Times New Roman"/>
                <w:sz w:val="28"/>
                <w:szCs w:val="28"/>
              </w:rPr>
              <w:t>百分比</w:t>
            </w:r>
          </w:p>
        </w:tc>
      </w:tr>
      <w:tr w:rsidR="003A1FE1" w:rsidRPr="003A1FE1" w:rsidTr="00EF1C33">
        <w:trPr>
          <w:trHeight w:val="367"/>
          <w:jc w:val="center"/>
        </w:trPr>
        <w:tc>
          <w:tcPr>
            <w:tcW w:w="2694"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rPr>
                <w:rFonts w:ascii="Times New Roman" w:hAnsi="Times New Roman"/>
                <w:sz w:val="28"/>
                <w:szCs w:val="28"/>
              </w:rPr>
            </w:pPr>
            <w:r w:rsidRPr="003A1FE1">
              <w:rPr>
                <w:rFonts w:ascii="Times New Roman" w:hAnsi="Times New Roman"/>
                <w:sz w:val="28"/>
                <w:szCs w:val="28"/>
              </w:rPr>
              <w:t>建地</w:t>
            </w:r>
          </w:p>
        </w:tc>
        <w:tc>
          <w:tcPr>
            <w:tcW w:w="3118" w:type="dxa"/>
            <w:shd w:val="clear" w:color="auto" w:fill="auto"/>
            <w:tcMar>
              <w:top w:w="72" w:type="dxa"/>
              <w:left w:w="144" w:type="dxa"/>
              <w:bottom w:w="72" w:type="dxa"/>
              <w:right w:w="144" w:type="dxa"/>
            </w:tcMar>
            <w:hideMark/>
          </w:tcPr>
          <w:p w:rsidR="00E310BA" w:rsidRPr="003A1FE1" w:rsidRDefault="00E310BA" w:rsidP="00B25F84">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0.16</w:t>
            </w:r>
            <w:r w:rsidRPr="003A1FE1">
              <w:rPr>
                <w:rFonts w:ascii="Times New Roman" w:hAnsi="Times New Roman"/>
                <w:sz w:val="28"/>
                <w:szCs w:val="28"/>
              </w:rPr>
              <w:t>萬</w:t>
            </w:r>
          </w:p>
        </w:tc>
        <w:tc>
          <w:tcPr>
            <w:tcW w:w="2693" w:type="dxa"/>
            <w:shd w:val="clear" w:color="auto" w:fill="auto"/>
            <w:tcMar>
              <w:top w:w="72" w:type="dxa"/>
              <w:left w:w="144" w:type="dxa"/>
              <w:bottom w:w="72" w:type="dxa"/>
              <w:right w:w="144" w:type="dxa"/>
            </w:tcMar>
            <w:hideMark/>
          </w:tcPr>
          <w:p w:rsidR="00E310BA" w:rsidRPr="003A1FE1" w:rsidRDefault="00E310BA" w:rsidP="00B25F84">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0.61</w:t>
            </w:r>
            <w:r w:rsidRPr="003A1FE1">
              <w:rPr>
                <w:rFonts w:ascii="Times New Roman" w:hAnsi="Times New Roman"/>
                <w:sz w:val="28"/>
                <w:szCs w:val="28"/>
              </w:rPr>
              <w:t>％</w:t>
            </w:r>
          </w:p>
        </w:tc>
      </w:tr>
      <w:tr w:rsidR="003A1FE1" w:rsidRPr="003A1FE1" w:rsidTr="00EF1C33">
        <w:trPr>
          <w:trHeight w:val="417"/>
          <w:jc w:val="center"/>
        </w:trPr>
        <w:tc>
          <w:tcPr>
            <w:tcW w:w="2694"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rPr>
                <w:rFonts w:ascii="Times New Roman" w:hAnsi="Times New Roman"/>
                <w:sz w:val="28"/>
                <w:szCs w:val="28"/>
              </w:rPr>
            </w:pPr>
            <w:r w:rsidRPr="003A1FE1">
              <w:rPr>
                <w:rFonts w:ascii="Times New Roman" w:hAnsi="Times New Roman"/>
                <w:sz w:val="28"/>
                <w:szCs w:val="28"/>
              </w:rPr>
              <w:t>農牧用地</w:t>
            </w:r>
          </w:p>
        </w:tc>
        <w:tc>
          <w:tcPr>
            <w:tcW w:w="3118" w:type="dxa"/>
            <w:shd w:val="clear" w:color="auto" w:fill="auto"/>
            <w:tcMar>
              <w:top w:w="72" w:type="dxa"/>
              <w:left w:w="144" w:type="dxa"/>
              <w:bottom w:w="72" w:type="dxa"/>
              <w:right w:w="144" w:type="dxa"/>
            </w:tcMar>
            <w:hideMark/>
          </w:tcPr>
          <w:p w:rsidR="00E310BA" w:rsidRPr="003A1FE1" w:rsidRDefault="00E310BA" w:rsidP="00B25F84">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7.52</w:t>
            </w:r>
            <w:r w:rsidRPr="003A1FE1">
              <w:rPr>
                <w:rFonts w:ascii="Times New Roman" w:hAnsi="Times New Roman"/>
                <w:sz w:val="28"/>
                <w:szCs w:val="28"/>
              </w:rPr>
              <w:t>萬</w:t>
            </w:r>
          </w:p>
        </w:tc>
        <w:tc>
          <w:tcPr>
            <w:tcW w:w="2693" w:type="dxa"/>
            <w:shd w:val="clear" w:color="auto" w:fill="auto"/>
            <w:tcMar>
              <w:top w:w="72" w:type="dxa"/>
              <w:left w:w="144" w:type="dxa"/>
              <w:bottom w:w="72" w:type="dxa"/>
              <w:right w:w="144" w:type="dxa"/>
            </w:tcMar>
            <w:hideMark/>
          </w:tcPr>
          <w:p w:rsidR="00E310BA" w:rsidRPr="003A1FE1" w:rsidRDefault="00E310BA" w:rsidP="00B25F84">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28.63</w:t>
            </w:r>
            <w:r w:rsidRPr="003A1FE1">
              <w:rPr>
                <w:rFonts w:ascii="Times New Roman" w:hAnsi="Times New Roman"/>
                <w:sz w:val="28"/>
                <w:szCs w:val="28"/>
              </w:rPr>
              <w:t>％</w:t>
            </w:r>
          </w:p>
        </w:tc>
      </w:tr>
      <w:tr w:rsidR="003A1FE1" w:rsidRPr="003A1FE1" w:rsidTr="00EF1C33">
        <w:trPr>
          <w:trHeight w:val="445"/>
          <w:jc w:val="center"/>
        </w:trPr>
        <w:tc>
          <w:tcPr>
            <w:tcW w:w="2694"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rPr>
                <w:rFonts w:ascii="Times New Roman" w:hAnsi="Times New Roman"/>
                <w:sz w:val="28"/>
                <w:szCs w:val="28"/>
              </w:rPr>
            </w:pPr>
            <w:r w:rsidRPr="003A1FE1">
              <w:rPr>
                <w:rFonts w:ascii="Times New Roman" w:hAnsi="Times New Roman"/>
                <w:sz w:val="28"/>
                <w:szCs w:val="28"/>
              </w:rPr>
              <w:t>林業用地</w:t>
            </w:r>
          </w:p>
        </w:tc>
        <w:tc>
          <w:tcPr>
            <w:tcW w:w="3118" w:type="dxa"/>
            <w:shd w:val="clear" w:color="auto" w:fill="auto"/>
            <w:tcMar>
              <w:top w:w="72" w:type="dxa"/>
              <w:left w:w="144" w:type="dxa"/>
              <w:bottom w:w="72" w:type="dxa"/>
              <w:right w:w="144" w:type="dxa"/>
            </w:tcMar>
            <w:hideMark/>
          </w:tcPr>
          <w:p w:rsidR="00E310BA" w:rsidRPr="003A1FE1" w:rsidRDefault="00E310BA" w:rsidP="00B25F84">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17.06</w:t>
            </w:r>
            <w:r w:rsidRPr="003A1FE1">
              <w:rPr>
                <w:rFonts w:ascii="Times New Roman" w:hAnsi="Times New Roman"/>
                <w:sz w:val="28"/>
                <w:szCs w:val="28"/>
              </w:rPr>
              <w:t>萬</w:t>
            </w:r>
          </w:p>
        </w:tc>
        <w:tc>
          <w:tcPr>
            <w:tcW w:w="2693" w:type="dxa"/>
            <w:shd w:val="clear" w:color="auto" w:fill="auto"/>
            <w:tcMar>
              <w:top w:w="72" w:type="dxa"/>
              <w:left w:w="144" w:type="dxa"/>
              <w:bottom w:w="72" w:type="dxa"/>
              <w:right w:w="144" w:type="dxa"/>
            </w:tcMar>
            <w:hideMark/>
          </w:tcPr>
          <w:p w:rsidR="00E310BA" w:rsidRPr="003A1FE1" w:rsidRDefault="00E310BA" w:rsidP="00B25F84">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64.94</w:t>
            </w:r>
            <w:r w:rsidRPr="003A1FE1">
              <w:rPr>
                <w:rFonts w:ascii="Times New Roman" w:hAnsi="Times New Roman"/>
                <w:sz w:val="28"/>
                <w:szCs w:val="28"/>
              </w:rPr>
              <w:t>％</w:t>
            </w:r>
          </w:p>
        </w:tc>
      </w:tr>
      <w:tr w:rsidR="003A1FE1" w:rsidRPr="003A1FE1" w:rsidTr="00EF1C33">
        <w:trPr>
          <w:trHeight w:val="1060"/>
          <w:jc w:val="center"/>
        </w:trPr>
        <w:tc>
          <w:tcPr>
            <w:tcW w:w="2694" w:type="dxa"/>
            <w:shd w:val="clear" w:color="auto" w:fill="auto"/>
            <w:tcMar>
              <w:top w:w="72" w:type="dxa"/>
              <w:left w:w="144" w:type="dxa"/>
              <w:bottom w:w="72" w:type="dxa"/>
              <w:right w:w="144" w:type="dxa"/>
            </w:tcMar>
            <w:hideMark/>
          </w:tcPr>
          <w:p w:rsidR="00E310BA" w:rsidRPr="003A1FE1" w:rsidRDefault="00E310BA" w:rsidP="00B25F84">
            <w:pPr>
              <w:pStyle w:val="3"/>
              <w:numPr>
                <w:ilvl w:val="0"/>
                <w:numId w:val="0"/>
              </w:numPr>
              <w:rPr>
                <w:rFonts w:ascii="Times New Roman" w:hAnsi="Times New Roman"/>
                <w:sz w:val="28"/>
                <w:szCs w:val="28"/>
              </w:rPr>
            </w:pPr>
            <w:r w:rsidRPr="003A1FE1">
              <w:rPr>
                <w:rFonts w:ascii="Times New Roman" w:hAnsi="Times New Roman"/>
                <w:sz w:val="28"/>
                <w:szCs w:val="28"/>
              </w:rPr>
              <w:t>其他</w:t>
            </w:r>
            <w:r w:rsidRPr="003A1FE1">
              <w:rPr>
                <w:rFonts w:ascii="Times New Roman" w:hAnsi="Times New Roman"/>
                <w:sz w:val="28"/>
                <w:szCs w:val="28"/>
              </w:rPr>
              <w:t>(</w:t>
            </w:r>
            <w:r w:rsidRPr="003A1FE1">
              <w:rPr>
                <w:rFonts w:ascii="Times New Roman" w:hAnsi="Times New Roman"/>
                <w:sz w:val="28"/>
                <w:szCs w:val="28"/>
              </w:rPr>
              <w:t>交通、特定目的、水利、國土保安等</w:t>
            </w:r>
            <w:r w:rsidRPr="003A1FE1">
              <w:rPr>
                <w:rFonts w:ascii="Times New Roman" w:hAnsi="Times New Roman"/>
                <w:sz w:val="28"/>
                <w:szCs w:val="28"/>
              </w:rPr>
              <w:t>)</w:t>
            </w:r>
          </w:p>
        </w:tc>
        <w:tc>
          <w:tcPr>
            <w:tcW w:w="3118" w:type="dxa"/>
            <w:shd w:val="clear" w:color="auto" w:fill="auto"/>
            <w:tcMar>
              <w:top w:w="72" w:type="dxa"/>
              <w:left w:w="144" w:type="dxa"/>
              <w:bottom w:w="72" w:type="dxa"/>
              <w:right w:w="144" w:type="dxa"/>
            </w:tcMar>
            <w:hideMark/>
          </w:tcPr>
          <w:p w:rsidR="00E310BA" w:rsidRPr="003A1FE1" w:rsidRDefault="00E310BA" w:rsidP="00B25F84">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1.53</w:t>
            </w:r>
            <w:r w:rsidRPr="003A1FE1">
              <w:rPr>
                <w:rFonts w:ascii="Times New Roman" w:hAnsi="Times New Roman"/>
                <w:sz w:val="28"/>
                <w:szCs w:val="28"/>
              </w:rPr>
              <w:t>萬</w:t>
            </w:r>
          </w:p>
        </w:tc>
        <w:tc>
          <w:tcPr>
            <w:tcW w:w="2693" w:type="dxa"/>
            <w:shd w:val="clear" w:color="auto" w:fill="auto"/>
            <w:tcMar>
              <w:top w:w="72" w:type="dxa"/>
              <w:left w:w="144" w:type="dxa"/>
              <w:bottom w:w="72" w:type="dxa"/>
              <w:right w:w="144" w:type="dxa"/>
            </w:tcMar>
            <w:hideMark/>
          </w:tcPr>
          <w:p w:rsidR="00E310BA" w:rsidRPr="003A1FE1" w:rsidRDefault="00E310BA" w:rsidP="00B25F84">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5.82</w:t>
            </w:r>
            <w:r w:rsidRPr="003A1FE1">
              <w:rPr>
                <w:rFonts w:ascii="Times New Roman" w:hAnsi="Times New Roman"/>
                <w:sz w:val="28"/>
                <w:szCs w:val="28"/>
              </w:rPr>
              <w:t>％</w:t>
            </w:r>
          </w:p>
        </w:tc>
      </w:tr>
      <w:tr w:rsidR="003A1FE1" w:rsidRPr="003A1FE1" w:rsidTr="00EF1C33">
        <w:trPr>
          <w:trHeight w:val="409"/>
          <w:jc w:val="center"/>
        </w:trPr>
        <w:tc>
          <w:tcPr>
            <w:tcW w:w="2694" w:type="dxa"/>
            <w:shd w:val="clear" w:color="auto" w:fill="auto"/>
            <w:tcMar>
              <w:top w:w="72" w:type="dxa"/>
              <w:left w:w="144" w:type="dxa"/>
              <w:bottom w:w="72" w:type="dxa"/>
              <w:right w:w="144" w:type="dxa"/>
            </w:tcMar>
            <w:hideMark/>
          </w:tcPr>
          <w:p w:rsidR="00E310BA" w:rsidRPr="003A1FE1" w:rsidRDefault="00E310BA" w:rsidP="00B25F84">
            <w:pPr>
              <w:pStyle w:val="3"/>
              <w:numPr>
                <w:ilvl w:val="0"/>
                <w:numId w:val="0"/>
              </w:numPr>
              <w:ind w:left="696"/>
              <w:rPr>
                <w:rFonts w:ascii="Times New Roman" w:hAnsi="Times New Roman"/>
                <w:sz w:val="28"/>
                <w:szCs w:val="28"/>
              </w:rPr>
            </w:pPr>
            <w:r w:rsidRPr="003A1FE1">
              <w:rPr>
                <w:rFonts w:ascii="Times New Roman" w:hAnsi="Times New Roman"/>
                <w:sz w:val="28"/>
                <w:szCs w:val="28"/>
              </w:rPr>
              <w:t>合計</w:t>
            </w:r>
          </w:p>
        </w:tc>
        <w:tc>
          <w:tcPr>
            <w:tcW w:w="3118" w:type="dxa"/>
            <w:shd w:val="clear" w:color="auto" w:fill="auto"/>
            <w:tcMar>
              <w:top w:w="72" w:type="dxa"/>
              <w:left w:w="144" w:type="dxa"/>
              <w:bottom w:w="72" w:type="dxa"/>
              <w:right w:w="144" w:type="dxa"/>
            </w:tcMar>
            <w:hideMark/>
          </w:tcPr>
          <w:p w:rsidR="00E310BA" w:rsidRPr="003A1FE1" w:rsidRDefault="00E310BA" w:rsidP="00B25F84">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26.27</w:t>
            </w:r>
            <w:r w:rsidRPr="003A1FE1">
              <w:rPr>
                <w:rFonts w:ascii="Times New Roman" w:hAnsi="Times New Roman"/>
                <w:sz w:val="28"/>
                <w:szCs w:val="28"/>
              </w:rPr>
              <w:t>萬</w:t>
            </w:r>
          </w:p>
        </w:tc>
        <w:tc>
          <w:tcPr>
            <w:tcW w:w="2693" w:type="dxa"/>
            <w:shd w:val="clear" w:color="auto" w:fill="auto"/>
            <w:tcMar>
              <w:top w:w="72" w:type="dxa"/>
              <w:left w:w="144" w:type="dxa"/>
              <w:bottom w:w="72" w:type="dxa"/>
              <w:right w:w="144" w:type="dxa"/>
            </w:tcMar>
            <w:hideMark/>
          </w:tcPr>
          <w:p w:rsidR="00E310BA" w:rsidRPr="003A1FE1" w:rsidRDefault="00E310BA" w:rsidP="00B25F84">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100</w:t>
            </w:r>
            <w:r w:rsidRPr="003A1FE1">
              <w:rPr>
                <w:rFonts w:ascii="Times New Roman" w:hAnsi="Times New Roman"/>
                <w:sz w:val="28"/>
                <w:szCs w:val="28"/>
              </w:rPr>
              <w:t>％</w:t>
            </w:r>
          </w:p>
        </w:tc>
      </w:tr>
    </w:tbl>
    <w:p w:rsidR="00E310BA" w:rsidRPr="003A1FE1" w:rsidRDefault="00E310BA" w:rsidP="00E310BA">
      <w:pPr>
        <w:pStyle w:val="3"/>
        <w:numPr>
          <w:ilvl w:val="0"/>
          <w:numId w:val="0"/>
        </w:numPr>
        <w:snapToGrid w:val="0"/>
        <w:ind w:leftChars="152" w:left="1818" w:hangingChars="500" w:hanging="1301"/>
        <w:rPr>
          <w:rFonts w:ascii="Times New Roman" w:hAnsi="Times New Roman"/>
          <w:sz w:val="24"/>
          <w:szCs w:val="24"/>
        </w:rPr>
      </w:pPr>
      <w:r w:rsidRPr="003A1FE1">
        <w:rPr>
          <w:rFonts w:ascii="Times New Roman" w:hAnsi="Times New Roman"/>
          <w:sz w:val="24"/>
          <w:szCs w:val="24"/>
        </w:rPr>
        <w:t>資料來源：</w:t>
      </w:r>
      <w:r w:rsidRPr="003A1FE1">
        <w:rPr>
          <w:rFonts w:ascii="Times New Roman" w:hAnsi="Times New Roman"/>
          <w:sz w:val="24"/>
          <w:szCs w:val="24"/>
        </w:rPr>
        <w:t>104</w:t>
      </w:r>
      <w:r w:rsidRPr="003A1FE1">
        <w:rPr>
          <w:rFonts w:ascii="Times New Roman" w:hAnsi="Times New Roman"/>
          <w:sz w:val="24"/>
          <w:szCs w:val="24"/>
        </w:rPr>
        <w:t>年</w:t>
      </w:r>
      <w:r w:rsidRPr="003A1FE1">
        <w:rPr>
          <w:rFonts w:ascii="Times New Roman" w:hAnsi="Times New Roman"/>
          <w:sz w:val="24"/>
          <w:szCs w:val="24"/>
        </w:rPr>
        <w:t>12</w:t>
      </w:r>
      <w:r w:rsidRPr="003A1FE1">
        <w:rPr>
          <w:rFonts w:ascii="Times New Roman" w:hAnsi="Times New Roman"/>
          <w:sz w:val="24"/>
          <w:szCs w:val="24"/>
        </w:rPr>
        <w:t>月</w:t>
      </w:r>
      <w:r w:rsidRPr="003A1FE1">
        <w:rPr>
          <w:rFonts w:ascii="Times New Roman" w:hAnsi="Times New Roman"/>
          <w:sz w:val="24"/>
          <w:szCs w:val="24"/>
        </w:rPr>
        <w:t>24</w:t>
      </w:r>
      <w:r w:rsidRPr="003A1FE1">
        <w:rPr>
          <w:rFonts w:ascii="Times New Roman" w:hAnsi="Times New Roman"/>
          <w:sz w:val="24"/>
          <w:szCs w:val="24"/>
        </w:rPr>
        <w:t>日原住民保留地網際網路土地管理資訊系統。</w:t>
      </w:r>
    </w:p>
    <w:p w:rsidR="00E310BA" w:rsidRPr="003A1FE1" w:rsidRDefault="00E310BA" w:rsidP="00DB0327">
      <w:pPr>
        <w:pStyle w:val="1"/>
        <w:numPr>
          <w:ilvl w:val="0"/>
          <w:numId w:val="0"/>
        </w:numPr>
        <w:spacing w:beforeLines="50"/>
        <w:jc w:val="center"/>
        <w:rPr>
          <w:rFonts w:ascii="Times New Roman" w:hAnsi="Times New Roman"/>
          <w:szCs w:val="32"/>
        </w:rPr>
      </w:pPr>
      <w:r w:rsidRPr="003A1FE1">
        <w:rPr>
          <w:rFonts w:ascii="Times New Roman" w:hAnsi="Times New Roman"/>
          <w:szCs w:val="32"/>
        </w:rPr>
        <w:t>表</w:t>
      </w:r>
      <w:r w:rsidRPr="003A1FE1">
        <w:rPr>
          <w:rFonts w:ascii="Times New Roman" w:hAnsi="Times New Roman"/>
          <w:szCs w:val="32"/>
        </w:rPr>
        <w:t xml:space="preserve">2 </w:t>
      </w:r>
      <w:r w:rsidRPr="003A1FE1">
        <w:rPr>
          <w:rFonts w:ascii="Times New Roman" w:hAnsi="Times New Roman"/>
          <w:szCs w:val="32"/>
        </w:rPr>
        <w:t>原住民保留地土地使用概況表</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tblPr>
      <w:tblGrid>
        <w:gridCol w:w="3074"/>
        <w:gridCol w:w="2693"/>
        <w:gridCol w:w="2702"/>
      </w:tblGrid>
      <w:tr w:rsidR="003A1FE1" w:rsidRPr="003A1FE1" w:rsidTr="00EF1C33">
        <w:trPr>
          <w:trHeight w:val="533"/>
          <w:tblHeader/>
          <w:jc w:val="center"/>
        </w:trPr>
        <w:tc>
          <w:tcPr>
            <w:tcW w:w="3074"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jc w:val="center"/>
              <w:rPr>
                <w:rFonts w:ascii="Times New Roman" w:hAnsi="Times New Roman"/>
                <w:sz w:val="28"/>
                <w:szCs w:val="28"/>
              </w:rPr>
            </w:pPr>
            <w:r w:rsidRPr="003A1FE1">
              <w:rPr>
                <w:rFonts w:ascii="Times New Roman" w:hAnsi="Times New Roman"/>
                <w:sz w:val="28"/>
                <w:szCs w:val="28"/>
              </w:rPr>
              <w:t>用途</w:t>
            </w:r>
          </w:p>
        </w:tc>
        <w:tc>
          <w:tcPr>
            <w:tcW w:w="2693"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jc w:val="center"/>
              <w:rPr>
                <w:rFonts w:ascii="Times New Roman" w:hAnsi="Times New Roman"/>
                <w:sz w:val="28"/>
                <w:szCs w:val="28"/>
              </w:rPr>
            </w:pPr>
            <w:r w:rsidRPr="003A1FE1">
              <w:rPr>
                <w:rFonts w:ascii="Times New Roman" w:hAnsi="Times New Roman"/>
                <w:sz w:val="28"/>
                <w:szCs w:val="28"/>
              </w:rPr>
              <w:t>面積</w:t>
            </w:r>
            <w:r w:rsidRPr="003A1FE1">
              <w:rPr>
                <w:rFonts w:ascii="Times New Roman" w:hAnsi="Times New Roman"/>
                <w:sz w:val="28"/>
                <w:szCs w:val="28"/>
              </w:rPr>
              <w:t>(</w:t>
            </w:r>
            <w:r w:rsidRPr="003A1FE1">
              <w:rPr>
                <w:rFonts w:ascii="Times New Roman" w:hAnsi="Times New Roman"/>
                <w:sz w:val="28"/>
                <w:szCs w:val="28"/>
              </w:rPr>
              <w:t>公頃</w:t>
            </w:r>
            <w:r w:rsidRPr="003A1FE1">
              <w:rPr>
                <w:rFonts w:ascii="Times New Roman" w:hAnsi="Times New Roman"/>
                <w:sz w:val="28"/>
                <w:szCs w:val="28"/>
              </w:rPr>
              <w:t>)</w:t>
            </w:r>
          </w:p>
        </w:tc>
        <w:tc>
          <w:tcPr>
            <w:tcW w:w="2702"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jc w:val="center"/>
              <w:rPr>
                <w:rFonts w:ascii="Times New Roman" w:hAnsi="Times New Roman"/>
                <w:sz w:val="28"/>
                <w:szCs w:val="28"/>
              </w:rPr>
            </w:pPr>
            <w:r w:rsidRPr="003A1FE1">
              <w:rPr>
                <w:rFonts w:ascii="Times New Roman" w:hAnsi="Times New Roman"/>
                <w:sz w:val="28"/>
                <w:szCs w:val="28"/>
              </w:rPr>
              <w:t>百分比</w:t>
            </w:r>
          </w:p>
        </w:tc>
      </w:tr>
      <w:tr w:rsidR="003A1FE1" w:rsidRPr="003A1FE1" w:rsidTr="00EF1C33">
        <w:trPr>
          <w:trHeight w:val="489"/>
          <w:jc w:val="center"/>
        </w:trPr>
        <w:tc>
          <w:tcPr>
            <w:tcW w:w="3074"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rPr>
                <w:rFonts w:ascii="Times New Roman" w:hAnsi="Times New Roman"/>
                <w:sz w:val="28"/>
                <w:szCs w:val="28"/>
              </w:rPr>
            </w:pPr>
            <w:r w:rsidRPr="003A1FE1">
              <w:rPr>
                <w:rFonts w:ascii="Times New Roman" w:hAnsi="Times New Roman"/>
                <w:sz w:val="28"/>
                <w:szCs w:val="28"/>
              </w:rPr>
              <w:t>原住民取得所有權</w:t>
            </w:r>
          </w:p>
        </w:tc>
        <w:tc>
          <w:tcPr>
            <w:tcW w:w="2693"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9.34</w:t>
            </w:r>
            <w:r w:rsidRPr="003A1FE1">
              <w:rPr>
                <w:rFonts w:ascii="Times New Roman" w:hAnsi="Times New Roman"/>
                <w:sz w:val="28"/>
                <w:szCs w:val="28"/>
              </w:rPr>
              <w:t>萬</w:t>
            </w:r>
          </w:p>
        </w:tc>
        <w:tc>
          <w:tcPr>
            <w:tcW w:w="2702"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35.55</w:t>
            </w:r>
            <w:r w:rsidRPr="003A1FE1">
              <w:rPr>
                <w:rFonts w:ascii="Times New Roman" w:hAnsi="Times New Roman"/>
                <w:sz w:val="28"/>
                <w:szCs w:val="28"/>
              </w:rPr>
              <w:t>％</w:t>
            </w:r>
          </w:p>
        </w:tc>
      </w:tr>
      <w:tr w:rsidR="003A1FE1" w:rsidRPr="003A1FE1" w:rsidTr="00EF1C33">
        <w:trPr>
          <w:trHeight w:val="556"/>
          <w:jc w:val="center"/>
        </w:trPr>
        <w:tc>
          <w:tcPr>
            <w:tcW w:w="3074"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rPr>
                <w:rFonts w:ascii="Times New Roman" w:hAnsi="Times New Roman"/>
                <w:sz w:val="28"/>
                <w:szCs w:val="28"/>
              </w:rPr>
            </w:pPr>
            <w:r w:rsidRPr="003A1FE1">
              <w:rPr>
                <w:rFonts w:ascii="Times New Roman" w:hAnsi="Times New Roman"/>
                <w:sz w:val="28"/>
                <w:szCs w:val="28"/>
              </w:rPr>
              <w:t>原住民取得他項權利</w:t>
            </w:r>
          </w:p>
        </w:tc>
        <w:tc>
          <w:tcPr>
            <w:tcW w:w="2693"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2.59</w:t>
            </w:r>
            <w:r w:rsidRPr="003A1FE1">
              <w:rPr>
                <w:rFonts w:ascii="Times New Roman" w:hAnsi="Times New Roman"/>
                <w:sz w:val="28"/>
                <w:szCs w:val="28"/>
              </w:rPr>
              <w:t>萬</w:t>
            </w:r>
          </w:p>
        </w:tc>
        <w:tc>
          <w:tcPr>
            <w:tcW w:w="2702"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9.86</w:t>
            </w:r>
            <w:r w:rsidRPr="003A1FE1">
              <w:rPr>
                <w:rFonts w:ascii="Times New Roman" w:hAnsi="Times New Roman"/>
                <w:sz w:val="28"/>
                <w:szCs w:val="28"/>
              </w:rPr>
              <w:t>％</w:t>
            </w:r>
          </w:p>
        </w:tc>
      </w:tr>
      <w:tr w:rsidR="003A1FE1" w:rsidRPr="003A1FE1" w:rsidTr="00EF1C33">
        <w:trPr>
          <w:trHeight w:val="479"/>
          <w:jc w:val="center"/>
        </w:trPr>
        <w:tc>
          <w:tcPr>
            <w:tcW w:w="3074" w:type="dxa"/>
            <w:shd w:val="clear" w:color="auto" w:fill="auto"/>
            <w:tcMar>
              <w:top w:w="72" w:type="dxa"/>
              <w:left w:w="144" w:type="dxa"/>
              <w:bottom w:w="72" w:type="dxa"/>
              <w:right w:w="144" w:type="dxa"/>
            </w:tcMar>
            <w:hideMark/>
          </w:tcPr>
          <w:p w:rsidR="00E310BA" w:rsidRPr="003A1FE1" w:rsidRDefault="00E310BA" w:rsidP="00B25F84">
            <w:pPr>
              <w:pStyle w:val="3"/>
              <w:numPr>
                <w:ilvl w:val="0"/>
                <w:numId w:val="0"/>
              </w:numPr>
              <w:rPr>
                <w:rFonts w:ascii="Times New Roman" w:hAnsi="Times New Roman"/>
                <w:sz w:val="28"/>
                <w:szCs w:val="28"/>
              </w:rPr>
            </w:pPr>
            <w:r w:rsidRPr="003A1FE1">
              <w:rPr>
                <w:rFonts w:ascii="Times New Roman" w:hAnsi="Times New Roman"/>
                <w:sz w:val="28"/>
                <w:szCs w:val="28"/>
              </w:rPr>
              <w:lastRenderedPageBreak/>
              <w:t>出租</w:t>
            </w:r>
          </w:p>
        </w:tc>
        <w:tc>
          <w:tcPr>
            <w:tcW w:w="2693"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0.88</w:t>
            </w:r>
            <w:r w:rsidRPr="003A1FE1">
              <w:rPr>
                <w:rFonts w:ascii="Times New Roman" w:hAnsi="Times New Roman"/>
                <w:sz w:val="28"/>
                <w:szCs w:val="28"/>
              </w:rPr>
              <w:t>萬</w:t>
            </w:r>
          </w:p>
        </w:tc>
        <w:tc>
          <w:tcPr>
            <w:tcW w:w="2702"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3.35</w:t>
            </w:r>
            <w:r w:rsidRPr="003A1FE1">
              <w:rPr>
                <w:rFonts w:ascii="Times New Roman" w:hAnsi="Times New Roman"/>
                <w:sz w:val="28"/>
                <w:szCs w:val="28"/>
              </w:rPr>
              <w:t>％</w:t>
            </w:r>
          </w:p>
        </w:tc>
      </w:tr>
      <w:tr w:rsidR="003A1FE1" w:rsidRPr="003A1FE1" w:rsidTr="00EF1C33">
        <w:trPr>
          <w:trHeight w:val="480"/>
          <w:jc w:val="center"/>
        </w:trPr>
        <w:tc>
          <w:tcPr>
            <w:tcW w:w="3074"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rPr>
                <w:rFonts w:ascii="Times New Roman" w:hAnsi="Times New Roman"/>
                <w:sz w:val="28"/>
                <w:szCs w:val="28"/>
              </w:rPr>
            </w:pPr>
            <w:r w:rsidRPr="003A1FE1">
              <w:rPr>
                <w:rFonts w:ascii="Times New Roman" w:hAnsi="Times New Roman"/>
                <w:sz w:val="28"/>
                <w:szCs w:val="28"/>
              </w:rPr>
              <w:t>撥</w:t>
            </w:r>
            <w:r w:rsidRPr="003A1FE1">
              <w:rPr>
                <w:rFonts w:ascii="Times New Roman" w:hAnsi="Times New Roman"/>
                <w:sz w:val="28"/>
                <w:szCs w:val="28"/>
              </w:rPr>
              <w:t>(</w:t>
            </w:r>
            <w:r w:rsidRPr="003A1FE1">
              <w:rPr>
                <w:rFonts w:ascii="Times New Roman" w:hAnsi="Times New Roman"/>
                <w:sz w:val="28"/>
                <w:szCs w:val="28"/>
              </w:rPr>
              <w:t>使</w:t>
            </w:r>
            <w:r w:rsidRPr="003A1FE1">
              <w:rPr>
                <w:rFonts w:ascii="Times New Roman" w:hAnsi="Times New Roman"/>
                <w:sz w:val="28"/>
                <w:szCs w:val="28"/>
              </w:rPr>
              <w:t>)</w:t>
            </w:r>
            <w:r w:rsidRPr="003A1FE1">
              <w:rPr>
                <w:rFonts w:ascii="Times New Roman" w:hAnsi="Times New Roman"/>
                <w:sz w:val="28"/>
                <w:szCs w:val="28"/>
              </w:rPr>
              <w:t>用</w:t>
            </w:r>
          </w:p>
        </w:tc>
        <w:tc>
          <w:tcPr>
            <w:tcW w:w="2693"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0.65</w:t>
            </w:r>
            <w:r w:rsidRPr="003A1FE1">
              <w:rPr>
                <w:rFonts w:ascii="Times New Roman" w:hAnsi="Times New Roman"/>
                <w:sz w:val="28"/>
                <w:szCs w:val="28"/>
              </w:rPr>
              <w:t>萬</w:t>
            </w:r>
          </w:p>
        </w:tc>
        <w:tc>
          <w:tcPr>
            <w:tcW w:w="2702"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2.48</w:t>
            </w:r>
            <w:r w:rsidRPr="003A1FE1">
              <w:rPr>
                <w:rFonts w:ascii="Times New Roman" w:hAnsi="Times New Roman"/>
                <w:sz w:val="28"/>
                <w:szCs w:val="28"/>
              </w:rPr>
              <w:t>％</w:t>
            </w:r>
          </w:p>
        </w:tc>
      </w:tr>
      <w:tr w:rsidR="003A1FE1" w:rsidRPr="003A1FE1" w:rsidTr="00EF1C33">
        <w:trPr>
          <w:trHeight w:val="816"/>
          <w:jc w:val="center"/>
        </w:trPr>
        <w:tc>
          <w:tcPr>
            <w:tcW w:w="3074" w:type="dxa"/>
            <w:shd w:val="clear" w:color="auto" w:fill="auto"/>
            <w:tcMar>
              <w:top w:w="72" w:type="dxa"/>
              <w:left w:w="144" w:type="dxa"/>
              <w:bottom w:w="72" w:type="dxa"/>
              <w:right w:w="144" w:type="dxa"/>
            </w:tcMar>
            <w:hideMark/>
          </w:tcPr>
          <w:p w:rsidR="00E310BA" w:rsidRPr="003A1FE1" w:rsidRDefault="00E310BA" w:rsidP="00B25F84">
            <w:pPr>
              <w:pStyle w:val="3"/>
              <w:numPr>
                <w:ilvl w:val="0"/>
                <w:numId w:val="0"/>
              </w:numPr>
              <w:rPr>
                <w:rFonts w:ascii="Times New Roman" w:hAnsi="Times New Roman"/>
                <w:sz w:val="28"/>
                <w:szCs w:val="28"/>
              </w:rPr>
            </w:pPr>
            <w:r w:rsidRPr="003A1FE1">
              <w:rPr>
                <w:rFonts w:ascii="Times New Roman" w:hAnsi="Times New Roman"/>
                <w:sz w:val="28"/>
                <w:szCs w:val="28"/>
              </w:rPr>
              <w:t>其他</w:t>
            </w:r>
            <w:r w:rsidRPr="003A1FE1">
              <w:rPr>
                <w:rFonts w:ascii="Times New Roman" w:hAnsi="Times New Roman"/>
                <w:sz w:val="28"/>
                <w:szCs w:val="28"/>
              </w:rPr>
              <w:t>(</w:t>
            </w:r>
            <w:r w:rsidRPr="003A1FE1">
              <w:rPr>
                <w:rFonts w:ascii="Times New Roman" w:hAnsi="Times New Roman"/>
                <w:sz w:val="28"/>
                <w:szCs w:val="28"/>
              </w:rPr>
              <w:t>未分配、被占用、無使用等</w:t>
            </w:r>
            <w:r w:rsidRPr="003A1FE1">
              <w:rPr>
                <w:rFonts w:ascii="Times New Roman" w:hAnsi="Times New Roman"/>
                <w:sz w:val="28"/>
                <w:szCs w:val="28"/>
              </w:rPr>
              <w:t>)</w:t>
            </w:r>
          </w:p>
        </w:tc>
        <w:tc>
          <w:tcPr>
            <w:tcW w:w="2693"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12.81</w:t>
            </w:r>
            <w:r w:rsidRPr="003A1FE1">
              <w:rPr>
                <w:rFonts w:ascii="Times New Roman" w:hAnsi="Times New Roman"/>
                <w:sz w:val="28"/>
                <w:szCs w:val="28"/>
              </w:rPr>
              <w:t>萬</w:t>
            </w:r>
          </w:p>
        </w:tc>
        <w:tc>
          <w:tcPr>
            <w:tcW w:w="2702"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48.76</w:t>
            </w:r>
            <w:r w:rsidRPr="003A1FE1">
              <w:rPr>
                <w:rFonts w:ascii="Times New Roman" w:hAnsi="Times New Roman"/>
                <w:sz w:val="28"/>
                <w:szCs w:val="28"/>
              </w:rPr>
              <w:t>％</w:t>
            </w:r>
          </w:p>
        </w:tc>
      </w:tr>
      <w:tr w:rsidR="003A1FE1" w:rsidRPr="003A1FE1" w:rsidTr="00EF1C33">
        <w:trPr>
          <w:trHeight w:val="409"/>
          <w:jc w:val="center"/>
        </w:trPr>
        <w:tc>
          <w:tcPr>
            <w:tcW w:w="3074" w:type="dxa"/>
            <w:shd w:val="clear" w:color="auto" w:fill="auto"/>
            <w:tcMar>
              <w:top w:w="72" w:type="dxa"/>
              <w:left w:w="144" w:type="dxa"/>
              <w:bottom w:w="72" w:type="dxa"/>
              <w:right w:w="144" w:type="dxa"/>
            </w:tcMar>
            <w:hideMark/>
          </w:tcPr>
          <w:p w:rsidR="00E310BA" w:rsidRPr="003A1FE1" w:rsidRDefault="00E310BA" w:rsidP="00B25F84">
            <w:pPr>
              <w:pStyle w:val="3"/>
              <w:numPr>
                <w:ilvl w:val="0"/>
                <w:numId w:val="0"/>
              </w:numPr>
              <w:ind w:left="696"/>
              <w:rPr>
                <w:rFonts w:ascii="Times New Roman" w:hAnsi="Times New Roman"/>
                <w:sz w:val="28"/>
                <w:szCs w:val="28"/>
              </w:rPr>
            </w:pPr>
            <w:r w:rsidRPr="003A1FE1">
              <w:rPr>
                <w:rFonts w:ascii="Times New Roman" w:hAnsi="Times New Roman"/>
                <w:sz w:val="28"/>
                <w:szCs w:val="28"/>
              </w:rPr>
              <w:t>合計</w:t>
            </w:r>
          </w:p>
        </w:tc>
        <w:tc>
          <w:tcPr>
            <w:tcW w:w="2693"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26.27</w:t>
            </w:r>
            <w:r w:rsidRPr="003A1FE1">
              <w:rPr>
                <w:rFonts w:ascii="Times New Roman" w:hAnsi="Times New Roman"/>
                <w:sz w:val="28"/>
                <w:szCs w:val="28"/>
              </w:rPr>
              <w:t>萬</w:t>
            </w:r>
          </w:p>
        </w:tc>
        <w:tc>
          <w:tcPr>
            <w:tcW w:w="2702" w:type="dxa"/>
            <w:shd w:val="clear" w:color="auto" w:fill="auto"/>
            <w:tcMar>
              <w:top w:w="72" w:type="dxa"/>
              <w:left w:w="144" w:type="dxa"/>
              <w:bottom w:w="72" w:type="dxa"/>
              <w:right w:w="144" w:type="dxa"/>
            </w:tcMar>
            <w:vAlign w:val="center"/>
            <w:hideMark/>
          </w:tcPr>
          <w:p w:rsidR="00E310BA" w:rsidRPr="003A1FE1" w:rsidRDefault="00E310BA" w:rsidP="00B25F84">
            <w:pPr>
              <w:pStyle w:val="3"/>
              <w:numPr>
                <w:ilvl w:val="0"/>
                <w:numId w:val="0"/>
              </w:numPr>
              <w:ind w:left="696"/>
              <w:jc w:val="right"/>
              <w:rPr>
                <w:rFonts w:ascii="Times New Roman" w:hAnsi="Times New Roman"/>
                <w:sz w:val="28"/>
                <w:szCs w:val="28"/>
              </w:rPr>
            </w:pPr>
            <w:r w:rsidRPr="003A1FE1">
              <w:rPr>
                <w:rFonts w:ascii="Times New Roman" w:hAnsi="Times New Roman"/>
                <w:sz w:val="28"/>
                <w:szCs w:val="28"/>
              </w:rPr>
              <w:t>100</w:t>
            </w:r>
            <w:r w:rsidRPr="003A1FE1">
              <w:rPr>
                <w:rFonts w:ascii="Times New Roman" w:hAnsi="Times New Roman"/>
                <w:sz w:val="28"/>
                <w:szCs w:val="28"/>
              </w:rPr>
              <w:t>％</w:t>
            </w:r>
          </w:p>
        </w:tc>
      </w:tr>
    </w:tbl>
    <w:p w:rsidR="00E310BA" w:rsidRPr="003A1FE1" w:rsidRDefault="00E310BA" w:rsidP="00E310BA">
      <w:pPr>
        <w:pStyle w:val="3"/>
        <w:numPr>
          <w:ilvl w:val="0"/>
          <w:numId w:val="0"/>
        </w:numPr>
        <w:snapToGrid w:val="0"/>
        <w:ind w:leftChars="152" w:left="1818" w:hangingChars="500" w:hanging="1301"/>
        <w:rPr>
          <w:rFonts w:ascii="Times New Roman" w:hAnsi="Times New Roman"/>
        </w:rPr>
      </w:pPr>
      <w:r w:rsidRPr="003A1FE1">
        <w:rPr>
          <w:rFonts w:ascii="Times New Roman" w:hAnsi="Times New Roman"/>
          <w:sz w:val="24"/>
          <w:szCs w:val="24"/>
        </w:rPr>
        <w:t>資料來源：同上。</w:t>
      </w:r>
    </w:p>
    <w:p w:rsidR="00240C19" w:rsidRPr="003A1FE1" w:rsidRDefault="00E310BA" w:rsidP="00E310BA">
      <w:pPr>
        <w:pStyle w:val="10"/>
        <w:ind w:left="680" w:firstLine="680"/>
      </w:pPr>
      <w:r w:rsidRPr="003A1FE1">
        <w:rPr>
          <w:rFonts w:ascii="Times New Roman"/>
        </w:rPr>
        <w:t>本院長久以來，非常關注原住民族的人權保障，對於攸關原住民族生存與發展的原住民保留地，業已針對「原住民保留地排除占用作業，處理成效涉有不彰」、</w:t>
      </w:r>
      <w:r w:rsidRPr="003A1FE1">
        <w:rPr>
          <w:rFonts w:ascii="Times New Roman"/>
          <w:bCs/>
          <w:szCs w:val="48"/>
        </w:rPr>
        <w:t>「原住民保留地提供租（使）用，涉有未善盡主管機關之責」、</w:t>
      </w:r>
      <w:r w:rsidRPr="003A1FE1">
        <w:rPr>
          <w:rFonts w:ascii="Times New Roman"/>
        </w:rPr>
        <w:t>「原住民保留地管理及利用情形，涉有未盡職責及效能過低情事」等問題進行通案性調查，並提出若干調查意見促請主管機關予以重視與改善，惟本院於</w:t>
      </w:r>
      <w:r w:rsidRPr="003A1FE1">
        <w:rPr>
          <w:rFonts w:ascii="Times New Roman"/>
        </w:rPr>
        <w:t>104</w:t>
      </w:r>
      <w:r w:rsidRPr="003A1FE1">
        <w:rPr>
          <w:rFonts w:ascii="Times New Roman"/>
        </w:rPr>
        <w:t>年</w:t>
      </w:r>
      <w:r w:rsidRPr="003A1FE1">
        <w:rPr>
          <w:rFonts w:ascii="Times New Roman"/>
        </w:rPr>
        <w:t>7</w:t>
      </w:r>
      <w:r w:rsidRPr="003A1FE1">
        <w:rPr>
          <w:rFonts w:ascii="Times New Roman"/>
        </w:rPr>
        <w:t>月</w:t>
      </w:r>
      <w:r w:rsidRPr="003A1FE1">
        <w:rPr>
          <w:rFonts w:ascii="Times New Roman"/>
        </w:rPr>
        <w:t>31</w:t>
      </w:r>
      <w:r w:rsidRPr="003A1FE1">
        <w:rPr>
          <w:rFonts w:ascii="Times New Roman"/>
        </w:rPr>
        <w:t>日舉行「</w:t>
      </w:r>
      <w:r w:rsidRPr="003A1FE1">
        <w:rPr>
          <w:rFonts w:ascii="Times New Roman"/>
        </w:rPr>
        <w:t>104</w:t>
      </w:r>
      <w:r w:rsidRPr="003A1FE1">
        <w:rPr>
          <w:rFonts w:ascii="Times New Roman"/>
        </w:rPr>
        <w:t>年原住民族土地權利保障研討會」時，與會學者提及現行原住民保留地私下違法轉租、轉讓情形日益嚴重，已導致原住民保留地面臨地權實質流失危機之問題，引起本院的重視，案經本院內政及少數民族委員會討論後，認為主管機關對於原住民保留地私下違法轉租、轉讓情形，究有無善盡管理職責，積極清查，排除違法使用問題，相關單位究有無進行土地使用地籍資料清理作業及落實執法</w:t>
      </w:r>
      <w:r w:rsidR="00240C19" w:rsidRPr="003A1FE1">
        <w:rPr>
          <w:rFonts w:hint="eastAsia"/>
          <w:bCs/>
        </w:rPr>
        <w:t>。</w:t>
      </w:r>
      <w:r w:rsidR="00240C19" w:rsidRPr="003A1FE1">
        <w:rPr>
          <w:rFonts w:hAnsi="標楷體" w:cs="新細明體" w:hint="eastAsia"/>
          <w:szCs w:val="32"/>
        </w:rPr>
        <w:t>全案經本院調查完畢</w:t>
      </w:r>
      <w:r w:rsidR="00240C19" w:rsidRPr="003A1FE1">
        <w:rPr>
          <w:rFonts w:hAnsi="標楷體" w:hint="eastAsia"/>
          <w:bCs/>
          <w:szCs w:val="32"/>
        </w:rPr>
        <w:t>，發現</w:t>
      </w:r>
      <w:r w:rsidRPr="003A1FE1">
        <w:rPr>
          <w:rFonts w:ascii="Times New Roman"/>
        </w:rPr>
        <w:t>原民會</w:t>
      </w:r>
      <w:r w:rsidR="00240C19" w:rsidRPr="003A1FE1">
        <w:rPr>
          <w:rFonts w:hint="eastAsia"/>
          <w:bCs/>
        </w:rPr>
        <w:t>確有違失，應予糾正促其注意改善。事實與理由如下</w:t>
      </w:r>
      <w:r w:rsidR="00240C19" w:rsidRPr="003A1FE1">
        <w:rPr>
          <w:rFonts w:hAnsi="標楷體" w:hint="eastAsia"/>
          <w:spacing w:val="-6"/>
        </w:rPr>
        <w:t>：</w:t>
      </w:r>
      <w:r w:rsidR="00240C19" w:rsidRPr="003A1FE1">
        <w:rPr>
          <w:rFonts w:hint="eastAsia"/>
        </w:rPr>
        <w:t xml:space="preserve"> </w:t>
      </w:r>
    </w:p>
    <w:p w:rsidR="00121031" w:rsidRPr="003A1FE1" w:rsidRDefault="00121031" w:rsidP="00121031">
      <w:pPr>
        <w:pStyle w:val="2"/>
        <w:numPr>
          <w:ilvl w:val="1"/>
          <w:numId w:val="1"/>
        </w:numPr>
        <w:kinsoku w:val="0"/>
        <w:overflowPunct/>
        <w:autoSpaceDE/>
        <w:autoSpaceDN/>
        <w:ind w:left="1020" w:hanging="680"/>
        <w:rPr>
          <w:rFonts w:ascii="Times New Roman" w:hAnsi="Times New Roman"/>
        </w:rPr>
      </w:pPr>
      <w:bookmarkStart w:id="42" w:name="_Toc421794870"/>
      <w:bookmarkStart w:id="43" w:name="_Toc422728952"/>
      <w:r w:rsidRPr="003A1FE1">
        <w:rPr>
          <w:rFonts w:ascii="Times New Roman" w:hAnsi="Times New Roman"/>
          <w:szCs w:val="32"/>
        </w:rPr>
        <w:t>原住民取得原住民保留地相關權利後，違法轉讓、轉租之行為，不僅嚴重悖離既有原住民保留地政策，違反現行法令，更衍生原住民保留地地權實質流失的危機，以及原住民與非原住民間對於原住民保留地的產權糾紛與衝突，中央與地方主管機關為落實原住民保</w:t>
      </w:r>
      <w:r w:rsidRPr="003A1FE1">
        <w:rPr>
          <w:rFonts w:ascii="Times New Roman" w:hAnsi="Times New Roman"/>
          <w:szCs w:val="32"/>
        </w:rPr>
        <w:lastRenderedPageBreak/>
        <w:t>留地政策與執行法令，自有責任提出對策並積極查處。惟多年來，各縣市政府未能善盡職責，詳加調查，而原民會僅以宣導方式處理，未能針對違法態樣，就法制或執行面，謀求改善，督導各縣市政府積極處理，致使該違法情形長期存在且日益嚴重，核有未當。</w:t>
      </w:r>
    </w:p>
    <w:p w:rsidR="00121031" w:rsidRPr="003A1FE1" w:rsidRDefault="00121031" w:rsidP="00121031">
      <w:pPr>
        <w:pStyle w:val="3"/>
        <w:numPr>
          <w:ilvl w:val="2"/>
          <w:numId w:val="1"/>
        </w:numPr>
        <w:kinsoku w:val="0"/>
        <w:overflowPunct/>
        <w:autoSpaceDE/>
        <w:autoSpaceDN/>
        <w:ind w:left="1360" w:hanging="680"/>
        <w:rPr>
          <w:rFonts w:ascii="Times New Roman" w:hAnsi="Times New Roman"/>
        </w:rPr>
      </w:pPr>
      <w:r w:rsidRPr="003A1FE1">
        <w:rPr>
          <w:rFonts w:ascii="Times New Roman" w:hAnsi="Times New Roman"/>
        </w:rPr>
        <w:t>山坡地保育利用條例與原住民保留地開發管理辦法施行多年以來，原住民取得原住民保留地之相關權利後，違法轉租、轉讓之情形，時有所聞，經詢據原民會表示：實際上確有違法轉讓使用權之情形，主要交易態樣有「簽署讓渡書」</w:t>
      </w:r>
      <w:r w:rsidRPr="003A1FE1">
        <w:rPr>
          <w:rStyle w:val="afe"/>
          <w:rFonts w:ascii="Times New Roman" w:hAnsi="Times New Roman"/>
        </w:rPr>
        <w:footnoteReference w:id="3"/>
      </w:r>
      <w:r w:rsidRPr="003A1FE1">
        <w:rPr>
          <w:rFonts w:ascii="Times New Roman" w:hAnsi="Times New Roman"/>
        </w:rPr>
        <w:t>、「人頭買賣」</w:t>
      </w:r>
      <w:r w:rsidRPr="003A1FE1">
        <w:rPr>
          <w:rStyle w:val="afe"/>
          <w:rFonts w:ascii="Times New Roman" w:hAnsi="Times New Roman"/>
        </w:rPr>
        <w:footnoteReference w:id="4"/>
      </w:r>
      <w:r w:rsidRPr="003A1FE1">
        <w:rPr>
          <w:rFonts w:ascii="Times New Roman" w:hAnsi="Times New Roman"/>
        </w:rPr>
        <w:t>，惟實務因違法轉讓使用權者多不承認其轉讓事實，就該違法行為查處不易；就私有原住民保留地所有權人而言，現行法令之唯一限制為土地所有權移轉之對象以原住民為限，至於其他本於所有權人之地位得享有之自由使用、收益、處分權能，與一般土地所有權人並無二致，故私有原住民保留地之所有權受憲法財產權之保障，該出租或設定行為不構成違法等語。</w:t>
      </w:r>
    </w:p>
    <w:p w:rsidR="00121031" w:rsidRPr="003A1FE1" w:rsidRDefault="00121031" w:rsidP="00121031">
      <w:pPr>
        <w:pStyle w:val="3"/>
        <w:numPr>
          <w:ilvl w:val="2"/>
          <w:numId w:val="1"/>
        </w:numPr>
        <w:kinsoku w:val="0"/>
        <w:overflowPunct/>
        <w:autoSpaceDE/>
        <w:autoSpaceDN/>
        <w:ind w:left="1360" w:hanging="680"/>
        <w:rPr>
          <w:rFonts w:ascii="Times New Roman" w:hAnsi="Times New Roman"/>
        </w:rPr>
      </w:pPr>
      <w:r w:rsidRPr="003A1FE1">
        <w:rPr>
          <w:rFonts w:ascii="Times New Roman" w:hAnsi="Times New Roman"/>
        </w:rPr>
        <w:t>原民會為防範遏止原住民取得原住民保留地所有權後轉讓使用權予非原住民之情況，透過加強法令及政策宣導，期使原住民於取得土地所有權後，增進愛惜土地觀念與守法精神；另一方面針對財產權之行使，例如投資、開發、設定抵押權之借貸、地上權之設定等等，亦藉由宣導方式，使原住民瞭解相關法令規定及如何保障自身財產權益，以免遭受有心人士以詐騙、恐嚇、脅迫等非法手段，設定高額抵押或永久地上權等方式，實質取得土地使用權之</w:t>
      </w:r>
      <w:r w:rsidRPr="003A1FE1">
        <w:rPr>
          <w:rFonts w:ascii="Times New Roman" w:hAnsi="Times New Roman"/>
        </w:rPr>
        <w:lastRenderedPageBreak/>
        <w:t>弊端；另補助地方政府辦理原住民保留地權利回復及土地利用相關宣導會，至各部落及各鄉鎮舉辦，與部落族人及鄉親實際接觸、討論，瞭解族人遭遇之問題並提供建議與協助；編印或補助地方政府編印宣導資料，作成如摺頁、服務手冊之文宣品，除可於宣導會上發送外，亦經由寄送至各土地所有權人家戶之方式，以達廣為宣導之效果。</w:t>
      </w:r>
    </w:p>
    <w:p w:rsidR="00121031" w:rsidRPr="003A1FE1" w:rsidRDefault="00121031" w:rsidP="00DB0327">
      <w:pPr>
        <w:pStyle w:val="3"/>
        <w:numPr>
          <w:ilvl w:val="2"/>
          <w:numId w:val="1"/>
        </w:numPr>
        <w:kinsoku w:val="0"/>
        <w:overflowPunct/>
        <w:autoSpaceDE/>
        <w:autoSpaceDN/>
        <w:spacing w:afterLines="50"/>
        <w:ind w:left="1360" w:hanging="680"/>
        <w:rPr>
          <w:rFonts w:ascii="Times New Roman" w:hAnsi="Times New Roman"/>
        </w:rPr>
      </w:pPr>
      <w:r w:rsidRPr="003A1FE1">
        <w:rPr>
          <w:rFonts w:ascii="Times New Roman" w:hAnsi="Times New Roman"/>
        </w:rPr>
        <w:t>又原民會為實地瞭解相關機關執行原住民保留地租金收支、公有土地增劃編原住民保留地及原住民保留地違規利用等重點工作年度計畫辦理績效，自</w:t>
      </w:r>
      <w:r w:rsidRPr="003A1FE1">
        <w:rPr>
          <w:rFonts w:ascii="Times New Roman" w:hAnsi="Times New Roman"/>
        </w:rPr>
        <w:t>102</w:t>
      </w:r>
      <w:r w:rsidRPr="003A1FE1">
        <w:rPr>
          <w:rFonts w:ascii="Times New Roman" w:hAnsi="Times New Roman"/>
        </w:rPr>
        <w:t>年起，每年</w:t>
      </w:r>
      <w:r w:rsidRPr="003A1FE1">
        <w:rPr>
          <w:rFonts w:ascii="Times New Roman" w:hAnsi="Times New Roman"/>
        </w:rPr>
        <w:t>7-11</w:t>
      </w:r>
      <w:r w:rsidRPr="003A1FE1">
        <w:rPr>
          <w:rFonts w:ascii="Times New Roman" w:hAnsi="Times New Roman"/>
        </w:rPr>
        <w:t>月至</w:t>
      </w:r>
      <w:r w:rsidRPr="003A1FE1">
        <w:rPr>
          <w:rFonts w:ascii="Times New Roman" w:hAnsi="Times New Roman"/>
        </w:rPr>
        <w:t>12</w:t>
      </w:r>
      <w:r w:rsidRPr="003A1FE1">
        <w:rPr>
          <w:rFonts w:ascii="Times New Roman" w:hAnsi="Times New Roman"/>
        </w:rPr>
        <w:t>個直轄市、縣</w:t>
      </w:r>
      <w:r w:rsidRPr="003A1FE1">
        <w:rPr>
          <w:rFonts w:ascii="Times New Roman" w:hAnsi="Times New Roman"/>
        </w:rPr>
        <w:t>(</w:t>
      </w:r>
      <w:r w:rsidRPr="003A1FE1">
        <w:rPr>
          <w:rFonts w:ascii="Times New Roman" w:hAnsi="Times New Roman"/>
        </w:rPr>
        <w:t>市</w:t>
      </w:r>
      <w:r w:rsidRPr="003A1FE1">
        <w:rPr>
          <w:rFonts w:ascii="Times New Roman" w:hAnsi="Times New Roman"/>
        </w:rPr>
        <w:t>)</w:t>
      </w:r>
      <w:r w:rsidRPr="003A1FE1">
        <w:rPr>
          <w:rFonts w:ascii="Times New Roman" w:hAnsi="Times New Roman"/>
        </w:rPr>
        <w:t>政府辦理業務聯合查核作業，</w:t>
      </w:r>
      <w:r w:rsidRPr="003A1FE1">
        <w:rPr>
          <w:rFonts w:ascii="Times New Roman" w:hAnsi="Times New Roman"/>
        </w:rPr>
        <w:t>103-104</w:t>
      </w:r>
      <w:r w:rsidRPr="003A1FE1">
        <w:rPr>
          <w:rFonts w:ascii="Times New Roman" w:hAnsi="Times New Roman"/>
        </w:rPr>
        <w:t>年則改至轄內公所辦理查核工作。惟有關原住民保留地違規利用之查核作業，似未列入原住民保留地違法轉租、轉讓之查核；而各縣市則以「人力不足」、「舉證困難」、「涉及私權範圍」等為由，並未訂定相關清查計畫，而原民會請各縣市提供違法轉讓或出租之案件統計結果，亦僅</w:t>
      </w:r>
      <w:r w:rsidRPr="003A1FE1">
        <w:rPr>
          <w:rFonts w:ascii="Times New Roman" w:hAnsi="Times New Roman"/>
        </w:rPr>
        <w:t>26</w:t>
      </w:r>
      <w:r w:rsidRPr="003A1FE1">
        <w:rPr>
          <w:rFonts w:ascii="Times New Roman" w:hAnsi="Times New Roman"/>
        </w:rPr>
        <w:t>件而已，如表</w:t>
      </w:r>
      <w:r w:rsidRPr="003A1FE1">
        <w:rPr>
          <w:rFonts w:ascii="Times New Roman" w:hAnsi="Times New Roman"/>
        </w:rPr>
        <w:t>3</w:t>
      </w:r>
      <w:r w:rsidRPr="003A1FE1">
        <w:rPr>
          <w:rFonts w:ascii="Times New Roman" w:hAnsi="Times New Roman"/>
        </w:rPr>
        <w:t>。</w:t>
      </w:r>
    </w:p>
    <w:p w:rsidR="00121031" w:rsidRPr="003A1FE1" w:rsidRDefault="00121031" w:rsidP="006F72E7">
      <w:pPr>
        <w:snapToGrid w:val="0"/>
        <w:jc w:val="center"/>
        <w:rPr>
          <w:rFonts w:ascii="Times New Roman"/>
          <w:szCs w:val="32"/>
        </w:rPr>
      </w:pPr>
      <w:r w:rsidRPr="003A1FE1">
        <w:rPr>
          <w:rFonts w:ascii="Times New Roman"/>
          <w:szCs w:val="32"/>
        </w:rPr>
        <w:t>表</w:t>
      </w:r>
      <w:r w:rsidRPr="003A1FE1">
        <w:rPr>
          <w:rFonts w:ascii="Times New Roman"/>
          <w:szCs w:val="32"/>
        </w:rPr>
        <w:t xml:space="preserve">3 </w:t>
      </w:r>
      <w:r w:rsidRPr="003A1FE1">
        <w:rPr>
          <w:rFonts w:ascii="Times New Roman"/>
          <w:szCs w:val="32"/>
        </w:rPr>
        <w:t>各縣市原住民保留地違法轉讓或出租概況表</w:t>
      </w:r>
    </w:p>
    <w:p w:rsidR="00121031" w:rsidRPr="003A1FE1" w:rsidRDefault="00121031" w:rsidP="006F72E7">
      <w:pPr>
        <w:snapToGrid w:val="0"/>
        <w:jc w:val="center"/>
        <w:rPr>
          <w:rFonts w:ascii="Times New Roman"/>
          <w:szCs w:val="32"/>
        </w:rPr>
      </w:pPr>
      <w:r w:rsidRPr="003A1FE1">
        <w:rPr>
          <w:rFonts w:ascii="Times New Roman"/>
          <w:szCs w:val="32"/>
        </w:rPr>
        <w:t>（自</w:t>
      </w:r>
      <w:r w:rsidRPr="003A1FE1">
        <w:rPr>
          <w:rFonts w:ascii="Times New Roman"/>
          <w:szCs w:val="32"/>
        </w:rPr>
        <w:t>90</w:t>
      </w:r>
      <w:r w:rsidRPr="003A1FE1">
        <w:rPr>
          <w:rFonts w:ascii="Times New Roman"/>
          <w:szCs w:val="32"/>
        </w:rPr>
        <w:t>年迄今）</w:t>
      </w:r>
    </w:p>
    <w:p w:rsidR="00121031" w:rsidRPr="003A1FE1" w:rsidRDefault="00121031" w:rsidP="00121031">
      <w:pPr>
        <w:pStyle w:val="3"/>
        <w:numPr>
          <w:ilvl w:val="0"/>
          <w:numId w:val="0"/>
        </w:numPr>
        <w:ind w:left="680"/>
        <w:jc w:val="right"/>
        <w:rPr>
          <w:rFonts w:ascii="Times New Roman" w:hAnsi="Times New Roman"/>
          <w:szCs w:val="32"/>
        </w:rPr>
      </w:pPr>
      <w:r w:rsidRPr="003A1FE1">
        <w:rPr>
          <w:rFonts w:ascii="Times New Roman" w:hAnsi="Times New Roman"/>
          <w:szCs w:val="32"/>
        </w:rPr>
        <w:t>單位：筆；公頃</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4"/>
        <w:gridCol w:w="1024"/>
        <w:gridCol w:w="1378"/>
        <w:gridCol w:w="741"/>
        <w:gridCol w:w="850"/>
        <w:gridCol w:w="1276"/>
        <w:gridCol w:w="1134"/>
        <w:gridCol w:w="1276"/>
        <w:gridCol w:w="850"/>
      </w:tblGrid>
      <w:tr w:rsidR="003A1FE1" w:rsidRPr="003A1FE1" w:rsidTr="00EF1C33">
        <w:trPr>
          <w:trHeight w:val="454"/>
          <w:tblHeader/>
          <w:jc w:val="center"/>
        </w:trPr>
        <w:tc>
          <w:tcPr>
            <w:tcW w:w="1024" w:type="dxa"/>
            <w:vMerge w:val="restart"/>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縣市</w:t>
            </w:r>
          </w:p>
        </w:tc>
        <w:tc>
          <w:tcPr>
            <w:tcW w:w="2402" w:type="dxa"/>
            <w:gridSpan w:val="2"/>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違法出租（讓）</w:t>
            </w:r>
          </w:p>
        </w:tc>
        <w:tc>
          <w:tcPr>
            <w:tcW w:w="741" w:type="dxa"/>
            <w:vMerge w:val="restart"/>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違法</w:t>
            </w:r>
          </w:p>
          <w:p w:rsidR="00121031" w:rsidRPr="003A1FE1" w:rsidRDefault="00121031" w:rsidP="00B25F84">
            <w:pPr>
              <w:rPr>
                <w:rFonts w:ascii="Times New Roman"/>
                <w:sz w:val="24"/>
                <w:szCs w:val="24"/>
              </w:rPr>
            </w:pPr>
            <w:r w:rsidRPr="003A1FE1">
              <w:rPr>
                <w:rFonts w:ascii="Times New Roman"/>
                <w:sz w:val="24"/>
                <w:szCs w:val="24"/>
              </w:rPr>
              <w:t>出售</w:t>
            </w:r>
          </w:p>
        </w:tc>
        <w:tc>
          <w:tcPr>
            <w:tcW w:w="850" w:type="dxa"/>
            <w:vMerge w:val="restart"/>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合計</w:t>
            </w:r>
          </w:p>
        </w:tc>
        <w:tc>
          <w:tcPr>
            <w:tcW w:w="1276" w:type="dxa"/>
            <w:vMerge w:val="restart"/>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訴請法院</w:t>
            </w:r>
          </w:p>
          <w:p w:rsidR="00121031" w:rsidRPr="003A1FE1" w:rsidRDefault="00121031" w:rsidP="00B25F84">
            <w:pPr>
              <w:rPr>
                <w:rFonts w:ascii="Times New Roman"/>
                <w:sz w:val="24"/>
                <w:szCs w:val="24"/>
              </w:rPr>
            </w:pPr>
            <w:r w:rsidRPr="003A1FE1">
              <w:rPr>
                <w:rFonts w:ascii="Times New Roman"/>
                <w:sz w:val="24"/>
                <w:szCs w:val="24"/>
              </w:rPr>
              <w:t>塗銷登記</w:t>
            </w:r>
          </w:p>
        </w:tc>
        <w:tc>
          <w:tcPr>
            <w:tcW w:w="2410" w:type="dxa"/>
            <w:gridSpan w:val="2"/>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終止其契約</w:t>
            </w:r>
          </w:p>
        </w:tc>
        <w:tc>
          <w:tcPr>
            <w:tcW w:w="850" w:type="dxa"/>
            <w:vMerge w:val="restart"/>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合計</w:t>
            </w:r>
          </w:p>
        </w:tc>
      </w:tr>
      <w:tr w:rsidR="003A1FE1" w:rsidRPr="003A1FE1" w:rsidTr="00EF1C33">
        <w:trPr>
          <w:trHeight w:val="454"/>
          <w:tblHeader/>
          <w:jc w:val="center"/>
        </w:trPr>
        <w:tc>
          <w:tcPr>
            <w:tcW w:w="1024" w:type="dxa"/>
            <w:vMerge/>
            <w:shd w:val="clear" w:color="auto" w:fill="auto"/>
            <w:vAlign w:val="center"/>
          </w:tcPr>
          <w:p w:rsidR="00121031" w:rsidRPr="003A1FE1" w:rsidRDefault="00121031" w:rsidP="00B25F84">
            <w:pPr>
              <w:rPr>
                <w:rFonts w:ascii="Times New Roman"/>
                <w:sz w:val="24"/>
                <w:szCs w:val="24"/>
              </w:rPr>
            </w:pPr>
          </w:p>
        </w:tc>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原住民</w:t>
            </w:r>
          </w:p>
        </w:tc>
        <w:tc>
          <w:tcPr>
            <w:tcW w:w="1378"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非原住民</w:t>
            </w:r>
          </w:p>
        </w:tc>
        <w:tc>
          <w:tcPr>
            <w:tcW w:w="741" w:type="dxa"/>
            <w:vMerge/>
            <w:shd w:val="clear" w:color="auto" w:fill="auto"/>
            <w:vAlign w:val="center"/>
          </w:tcPr>
          <w:p w:rsidR="00121031" w:rsidRPr="003A1FE1" w:rsidRDefault="00121031" w:rsidP="00B25F84">
            <w:pPr>
              <w:rPr>
                <w:rFonts w:ascii="Times New Roman"/>
                <w:sz w:val="24"/>
                <w:szCs w:val="24"/>
              </w:rPr>
            </w:pPr>
          </w:p>
        </w:tc>
        <w:tc>
          <w:tcPr>
            <w:tcW w:w="850" w:type="dxa"/>
            <w:vMerge/>
            <w:shd w:val="clear" w:color="auto" w:fill="auto"/>
            <w:vAlign w:val="center"/>
          </w:tcPr>
          <w:p w:rsidR="00121031" w:rsidRPr="003A1FE1" w:rsidRDefault="00121031" w:rsidP="00B25F84">
            <w:pPr>
              <w:rPr>
                <w:rFonts w:ascii="Times New Roman"/>
                <w:sz w:val="24"/>
                <w:szCs w:val="24"/>
              </w:rPr>
            </w:pPr>
          </w:p>
        </w:tc>
        <w:tc>
          <w:tcPr>
            <w:tcW w:w="1276" w:type="dxa"/>
            <w:vMerge/>
            <w:shd w:val="clear" w:color="auto" w:fill="auto"/>
            <w:vAlign w:val="center"/>
          </w:tcPr>
          <w:p w:rsidR="00121031" w:rsidRPr="003A1FE1" w:rsidRDefault="00121031" w:rsidP="00B25F84">
            <w:pPr>
              <w:rPr>
                <w:rFonts w:ascii="Times New Roman"/>
                <w:sz w:val="24"/>
                <w:szCs w:val="24"/>
              </w:rPr>
            </w:pPr>
          </w:p>
        </w:tc>
        <w:tc>
          <w:tcPr>
            <w:tcW w:w="113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原住民</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非原住民</w:t>
            </w:r>
          </w:p>
        </w:tc>
        <w:tc>
          <w:tcPr>
            <w:tcW w:w="850" w:type="dxa"/>
            <w:vMerge/>
            <w:shd w:val="clear" w:color="auto" w:fill="auto"/>
            <w:vAlign w:val="center"/>
          </w:tcPr>
          <w:p w:rsidR="00121031" w:rsidRPr="003A1FE1" w:rsidRDefault="00121031" w:rsidP="00B25F84">
            <w:pPr>
              <w:rPr>
                <w:rFonts w:ascii="Times New Roman"/>
                <w:sz w:val="24"/>
                <w:szCs w:val="24"/>
              </w:rPr>
            </w:pPr>
          </w:p>
        </w:tc>
      </w:tr>
      <w:tr w:rsidR="003A1FE1" w:rsidRPr="003A1FE1" w:rsidTr="00EF1C33">
        <w:trPr>
          <w:trHeight w:val="567"/>
          <w:jc w:val="center"/>
        </w:trPr>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新北市</w:t>
            </w:r>
          </w:p>
        </w:tc>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378"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741"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13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r>
      <w:tr w:rsidR="003A1FE1" w:rsidRPr="003A1FE1" w:rsidTr="00EF1C33">
        <w:trPr>
          <w:trHeight w:val="567"/>
          <w:jc w:val="center"/>
        </w:trPr>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桃園市</w:t>
            </w:r>
          </w:p>
        </w:tc>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378"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741"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13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r>
      <w:tr w:rsidR="003A1FE1" w:rsidRPr="003A1FE1" w:rsidTr="00EF1C33">
        <w:trPr>
          <w:trHeight w:val="567"/>
          <w:jc w:val="center"/>
        </w:trPr>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新竹縣</w:t>
            </w:r>
          </w:p>
        </w:tc>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378"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741"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13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r>
      <w:tr w:rsidR="003A1FE1" w:rsidRPr="003A1FE1" w:rsidTr="00EF1C33">
        <w:trPr>
          <w:trHeight w:val="567"/>
          <w:jc w:val="center"/>
        </w:trPr>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苗栗縣</w:t>
            </w:r>
          </w:p>
        </w:tc>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378"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741"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13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r>
      <w:tr w:rsidR="003A1FE1" w:rsidRPr="003A1FE1" w:rsidTr="00EF1C33">
        <w:trPr>
          <w:trHeight w:val="567"/>
          <w:jc w:val="center"/>
        </w:trPr>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臺中市</w:t>
            </w:r>
          </w:p>
        </w:tc>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378"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741"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13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r>
      <w:tr w:rsidR="003A1FE1" w:rsidRPr="003A1FE1" w:rsidTr="00EF1C33">
        <w:trPr>
          <w:trHeight w:val="567"/>
          <w:jc w:val="center"/>
        </w:trPr>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lastRenderedPageBreak/>
              <w:t>南投縣</w:t>
            </w:r>
          </w:p>
        </w:tc>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2</w:t>
            </w:r>
          </w:p>
        </w:tc>
        <w:tc>
          <w:tcPr>
            <w:tcW w:w="1378"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1</w:t>
            </w:r>
          </w:p>
        </w:tc>
        <w:tc>
          <w:tcPr>
            <w:tcW w:w="741"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4</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7</w:t>
            </w:r>
          </w:p>
        </w:tc>
        <w:tc>
          <w:tcPr>
            <w:tcW w:w="1276" w:type="dxa"/>
            <w:shd w:val="clear" w:color="auto" w:fill="auto"/>
            <w:vAlign w:val="center"/>
          </w:tcPr>
          <w:p w:rsidR="00121031" w:rsidRPr="003A1FE1" w:rsidRDefault="00B27121" w:rsidP="00B25F84">
            <w:pPr>
              <w:snapToGrid w:val="0"/>
              <w:rPr>
                <w:rFonts w:ascii="Times New Roman"/>
                <w:sz w:val="24"/>
                <w:szCs w:val="24"/>
              </w:rPr>
            </w:pPr>
            <w:r w:rsidRPr="003A1FE1">
              <w:rPr>
                <w:rFonts w:ascii="Times New Roman" w:hint="eastAsia"/>
                <w:sz w:val="24"/>
                <w:szCs w:val="24"/>
              </w:rPr>
              <w:t>6(</w:t>
            </w:r>
            <w:r w:rsidR="00121031" w:rsidRPr="003A1FE1">
              <w:rPr>
                <w:rFonts w:ascii="Times New Roman"/>
                <w:sz w:val="24"/>
                <w:szCs w:val="24"/>
              </w:rPr>
              <w:t>註</w:t>
            </w:r>
            <w:r w:rsidRPr="003A1FE1">
              <w:rPr>
                <w:rFonts w:ascii="Times New Roman" w:hint="eastAsia"/>
                <w:sz w:val="24"/>
                <w:szCs w:val="24"/>
              </w:rPr>
              <w:t>)</w:t>
            </w:r>
          </w:p>
        </w:tc>
        <w:tc>
          <w:tcPr>
            <w:tcW w:w="113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1</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7</w:t>
            </w:r>
          </w:p>
        </w:tc>
      </w:tr>
      <w:tr w:rsidR="003A1FE1" w:rsidRPr="003A1FE1" w:rsidTr="00EF1C33">
        <w:trPr>
          <w:trHeight w:val="567"/>
          <w:jc w:val="center"/>
        </w:trPr>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嘉義縣</w:t>
            </w:r>
          </w:p>
        </w:tc>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378"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741"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13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r>
      <w:tr w:rsidR="003A1FE1" w:rsidRPr="003A1FE1" w:rsidTr="00EF1C33">
        <w:trPr>
          <w:trHeight w:val="567"/>
          <w:jc w:val="center"/>
        </w:trPr>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高雄市</w:t>
            </w:r>
          </w:p>
        </w:tc>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378"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741"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13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r>
      <w:tr w:rsidR="003A1FE1" w:rsidRPr="003A1FE1" w:rsidTr="00EF1C33">
        <w:trPr>
          <w:trHeight w:val="567"/>
          <w:jc w:val="center"/>
        </w:trPr>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屏東縣</w:t>
            </w:r>
          </w:p>
        </w:tc>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378"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741"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13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r>
      <w:tr w:rsidR="003A1FE1" w:rsidRPr="003A1FE1" w:rsidTr="00EF1C33">
        <w:trPr>
          <w:trHeight w:val="567"/>
          <w:jc w:val="center"/>
        </w:trPr>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宜蘭縣</w:t>
            </w:r>
          </w:p>
        </w:tc>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378"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741"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1</w:t>
            </w:r>
          </w:p>
        </w:tc>
        <w:tc>
          <w:tcPr>
            <w:tcW w:w="113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1</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2</w:t>
            </w:r>
          </w:p>
        </w:tc>
      </w:tr>
      <w:tr w:rsidR="003A1FE1" w:rsidRPr="003A1FE1" w:rsidTr="00EF1C33">
        <w:trPr>
          <w:trHeight w:val="567"/>
          <w:jc w:val="center"/>
        </w:trPr>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花蓮縣</w:t>
            </w:r>
          </w:p>
        </w:tc>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2</w:t>
            </w:r>
          </w:p>
        </w:tc>
        <w:tc>
          <w:tcPr>
            <w:tcW w:w="1378"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741"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2</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4</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1</w:t>
            </w:r>
          </w:p>
        </w:tc>
        <w:tc>
          <w:tcPr>
            <w:tcW w:w="113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1</w:t>
            </w:r>
          </w:p>
        </w:tc>
      </w:tr>
      <w:tr w:rsidR="003A1FE1" w:rsidRPr="003A1FE1" w:rsidTr="00EF1C33">
        <w:trPr>
          <w:trHeight w:val="567"/>
          <w:jc w:val="center"/>
        </w:trPr>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臺東縣</w:t>
            </w:r>
          </w:p>
        </w:tc>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2</w:t>
            </w:r>
          </w:p>
        </w:tc>
        <w:tc>
          <w:tcPr>
            <w:tcW w:w="1378"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741"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1</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3</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2</w:t>
            </w:r>
          </w:p>
        </w:tc>
        <w:tc>
          <w:tcPr>
            <w:tcW w:w="113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0</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2</w:t>
            </w:r>
          </w:p>
        </w:tc>
      </w:tr>
      <w:tr w:rsidR="003A1FE1" w:rsidRPr="003A1FE1" w:rsidTr="00EF1C33">
        <w:trPr>
          <w:trHeight w:val="567"/>
          <w:jc w:val="center"/>
        </w:trPr>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總計</w:t>
            </w:r>
          </w:p>
        </w:tc>
        <w:tc>
          <w:tcPr>
            <w:tcW w:w="102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6</w:t>
            </w:r>
          </w:p>
        </w:tc>
        <w:tc>
          <w:tcPr>
            <w:tcW w:w="1378"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1</w:t>
            </w:r>
          </w:p>
        </w:tc>
        <w:tc>
          <w:tcPr>
            <w:tcW w:w="741"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7</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14</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10</w:t>
            </w:r>
          </w:p>
        </w:tc>
        <w:tc>
          <w:tcPr>
            <w:tcW w:w="1134"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1</w:t>
            </w:r>
          </w:p>
        </w:tc>
        <w:tc>
          <w:tcPr>
            <w:tcW w:w="1276"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1</w:t>
            </w:r>
          </w:p>
        </w:tc>
        <w:tc>
          <w:tcPr>
            <w:tcW w:w="850" w:type="dxa"/>
            <w:shd w:val="clear" w:color="auto" w:fill="auto"/>
            <w:vAlign w:val="center"/>
          </w:tcPr>
          <w:p w:rsidR="00121031" w:rsidRPr="003A1FE1" w:rsidRDefault="00121031" w:rsidP="00B25F84">
            <w:pPr>
              <w:rPr>
                <w:rFonts w:ascii="Times New Roman"/>
                <w:sz w:val="24"/>
                <w:szCs w:val="24"/>
              </w:rPr>
            </w:pPr>
            <w:r w:rsidRPr="003A1FE1">
              <w:rPr>
                <w:rFonts w:ascii="Times New Roman"/>
                <w:sz w:val="24"/>
                <w:szCs w:val="24"/>
              </w:rPr>
              <w:t>12</w:t>
            </w:r>
          </w:p>
        </w:tc>
      </w:tr>
    </w:tbl>
    <w:p w:rsidR="00121031" w:rsidRPr="003A1FE1" w:rsidRDefault="00121031" w:rsidP="00121031">
      <w:pPr>
        <w:pStyle w:val="4"/>
        <w:numPr>
          <w:ilvl w:val="0"/>
          <w:numId w:val="0"/>
        </w:numPr>
        <w:snapToGrid w:val="0"/>
        <w:rPr>
          <w:rFonts w:ascii="Times New Roman" w:hAnsi="Times New Roman"/>
          <w:sz w:val="24"/>
          <w:szCs w:val="24"/>
        </w:rPr>
      </w:pPr>
      <w:r w:rsidRPr="003A1FE1">
        <w:rPr>
          <w:rFonts w:ascii="Times New Roman" w:hAnsi="Times New Roman"/>
          <w:sz w:val="24"/>
          <w:szCs w:val="24"/>
        </w:rPr>
        <w:t>註：完成塗銷登記</w:t>
      </w:r>
      <w:r w:rsidRPr="003A1FE1">
        <w:rPr>
          <w:rFonts w:ascii="Times New Roman" w:hAnsi="Times New Roman"/>
          <w:sz w:val="24"/>
          <w:szCs w:val="24"/>
        </w:rPr>
        <w:t>3</w:t>
      </w:r>
      <w:r w:rsidRPr="003A1FE1">
        <w:rPr>
          <w:rFonts w:ascii="Times New Roman" w:hAnsi="Times New Roman"/>
          <w:sz w:val="24"/>
          <w:szCs w:val="24"/>
        </w:rPr>
        <w:t>筆，排除占用</w:t>
      </w:r>
      <w:r w:rsidRPr="003A1FE1">
        <w:rPr>
          <w:rFonts w:ascii="Times New Roman" w:hAnsi="Times New Roman"/>
          <w:sz w:val="24"/>
          <w:szCs w:val="24"/>
        </w:rPr>
        <w:t>2</w:t>
      </w:r>
      <w:r w:rsidRPr="003A1FE1">
        <w:rPr>
          <w:rFonts w:ascii="Times New Roman" w:hAnsi="Times New Roman"/>
          <w:sz w:val="24"/>
          <w:szCs w:val="24"/>
        </w:rPr>
        <w:t>筆，委任律師訴訟</w:t>
      </w:r>
      <w:r w:rsidRPr="003A1FE1">
        <w:rPr>
          <w:rFonts w:ascii="Times New Roman" w:hAnsi="Times New Roman"/>
          <w:sz w:val="24"/>
          <w:szCs w:val="24"/>
        </w:rPr>
        <w:t>1</w:t>
      </w:r>
      <w:r w:rsidRPr="003A1FE1">
        <w:rPr>
          <w:rFonts w:ascii="Times New Roman" w:hAnsi="Times New Roman"/>
          <w:sz w:val="24"/>
          <w:szCs w:val="24"/>
        </w:rPr>
        <w:t>筆。</w:t>
      </w:r>
    </w:p>
    <w:p w:rsidR="00121031" w:rsidRPr="003A1FE1" w:rsidRDefault="00121031" w:rsidP="00121031">
      <w:pPr>
        <w:pStyle w:val="4"/>
        <w:numPr>
          <w:ilvl w:val="0"/>
          <w:numId w:val="0"/>
        </w:numPr>
        <w:snapToGrid w:val="0"/>
        <w:rPr>
          <w:rFonts w:ascii="Times New Roman" w:hAnsi="Times New Roman"/>
        </w:rPr>
      </w:pPr>
      <w:r w:rsidRPr="003A1FE1">
        <w:rPr>
          <w:rFonts w:ascii="Times New Roman" w:hAnsi="Times New Roman"/>
          <w:sz w:val="24"/>
          <w:szCs w:val="24"/>
        </w:rPr>
        <w:t>資料來源：原民會。</w:t>
      </w:r>
    </w:p>
    <w:p w:rsidR="00121031" w:rsidRPr="003A1FE1" w:rsidRDefault="00121031" w:rsidP="00121031">
      <w:pPr>
        <w:pStyle w:val="3"/>
        <w:numPr>
          <w:ilvl w:val="2"/>
          <w:numId w:val="1"/>
        </w:numPr>
        <w:kinsoku w:val="0"/>
        <w:overflowPunct/>
        <w:autoSpaceDE/>
        <w:autoSpaceDN/>
        <w:ind w:left="1360" w:hanging="680"/>
        <w:rPr>
          <w:rFonts w:ascii="Times New Roman" w:hAnsi="Times New Roman"/>
        </w:rPr>
      </w:pPr>
      <w:r w:rsidRPr="003A1FE1">
        <w:rPr>
          <w:rFonts w:ascii="Times New Roman" w:hAnsi="Times New Roman"/>
        </w:rPr>
        <w:t>惟按原民會</w:t>
      </w:r>
      <w:r w:rsidRPr="003A1FE1">
        <w:rPr>
          <w:rFonts w:ascii="Times New Roman" w:hAnsi="Times New Roman"/>
        </w:rPr>
        <w:t>104</w:t>
      </w:r>
      <w:r w:rsidRPr="003A1FE1">
        <w:rPr>
          <w:rFonts w:ascii="Times New Roman" w:hAnsi="Times New Roman"/>
        </w:rPr>
        <w:t>年委託之「原住民保留地土地政策調查研究</w:t>
      </w:r>
      <w:r w:rsidRPr="003A1FE1">
        <w:rPr>
          <w:rFonts w:ascii="Times New Roman" w:hAnsi="Times New Roman"/>
        </w:rPr>
        <w:t>-</w:t>
      </w:r>
      <w:r w:rsidRPr="003A1FE1">
        <w:rPr>
          <w:rFonts w:ascii="Times New Roman" w:hAnsi="Times New Roman"/>
        </w:rPr>
        <w:t>非原住民使用總登記為原住民保留地問題研析」期末報告</w:t>
      </w:r>
      <w:r w:rsidRPr="003A1FE1">
        <w:rPr>
          <w:rFonts w:ascii="Times New Roman" w:hAnsi="Times New Roman"/>
          <w:vertAlign w:val="superscript"/>
        </w:rPr>
        <w:footnoteReference w:id="5"/>
      </w:r>
      <w:r w:rsidRPr="003A1FE1">
        <w:rPr>
          <w:rFonts w:ascii="Times New Roman" w:hAnsi="Times New Roman"/>
        </w:rPr>
        <w:t>指出，民法第</w:t>
      </w:r>
      <w:r w:rsidRPr="003A1FE1">
        <w:rPr>
          <w:rFonts w:ascii="Times New Roman" w:hAnsi="Times New Roman"/>
        </w:rPr>
        <w:t>765</w:t>
      </w:r>
      <w:r w:rsidRPr="003A1FE1">
        <w:rPr>
          <w:rFonts w:ascii="Times New Roman" w:hAnsi="Times New Roman"/>
        </w:rPr>
        <w:t>條規定：「所有人，於法令限制之範圍內，得自由使用、收益、處分其所有物，並排除他人之干涉。」故取得保留地所有權之原住民得將保留地租予非原住民，並未違反</w:t>
      </w:r>
      <w:r w:rsidRPr="003A1FE1">
        <w:rPr>
          <w:rFonts w:ascii="Times New Roman" w:hAnsi="Times New Roman"/>
          <w:szCs w:val="32"/>
        </w:rPr>
        <w:t>原住民保留地開法管理辦法</w:t>
      </w:r>
      <w:r w:rsidRPr="003A1FE1">
        <w:rPr>
          <w:rFonts w:ascii="Times New Roman" w:hAnsi="Times New Roman"/>
        </w:rPr>
        <w:t>第</w:t>
      </w:r>
      <w:r w:rsidRPr="003A1FE1">
        <w:rPr>
          <w:rFonts w:ascii="Times New Roman" w:hAnsi="Times New Roman"/>
        </w:rPr>
        <w:t>18</w:t>
      </w:r>
      <w:r w:rsidRPr="003A1FE1">
        <w:rPr>
          <w:rFonts w:ascii="Times New Roman" w:hAnsi="Times New Roman"/>
        </w:rPr>
        <w:t>條第</w:t>
      </w:r>
      <w:r w:rsidRPr="003A1FE1">
        <w:rPr>
          <w:rFonts w:ascii="Times New Roman" w:hAnsi="Times New Roman"/>
        </w:rPr>
        <w:t>1</w:t>
      </w:r>
      <w:r w:rsidRPr="003A1FE1">
        <w:rPr>
          <w:rFonts w:ascii="Times New Roman" w:hAnsi="Times New Roman"/>
        </w:rPr>
        <w:t>項規定。然而，由於原住民取得保留地所有權之後，僅有所有權移轉限制。因此，違法的保留地買賣，可以透過一系列「合法」的財產權操作安排，使非原住民處於類似保留地所有權人的地位，同時使原住民所有權人除了土地登記簿上的名義外，不再對保留地的使用、收益、處分享有實質上的權利，形同「人頭」供非原住民使用，亦即形式上雖設定抵押、</w:t>
      </w:r>
      <w:r w:rsidRPr="003A1FE1">
        <w:rPr>
          <w:rFonts w:ascii="Times New Roman" w:hAnsi="Times New Roman"/>
        </w:rPr>
        <w:lastRenderedPageBreak/>
        <w:t>合夥經營等契約，實質上幾乎等於被非原住民買斷，造成許多表面看似合法，實際上卻是違法之脫法行為。</w:t>
      </w:r>
    </w:p>
    <w:p w:rsidR="00121031" w:rsidRPr="003A1FE1" w:rsidRDefault="00121031" w:rsidP="00121031">
      <w:pPr>
        <w:pStyle w:val="3"/>
        <w:numPr>
          <w:ilvl w:val="2"/>
          <w:numId w:val="1"/>
        </w:numPr>
        <w:kinsoku w:val="0"/>
        <w:overflowPunct/>
        <w:autoSpaceDE/>
        <w:autoSpaceDN/>
        <w:ind w:left="1360" w:hanging="680"/>
        <w:rPr>
          <w:rFonts w:ascii="Times New Roman" w:hAnsi="Times New Roman"/>
          <w:b/>
        </w:rPr>
      </w:pPr>
      <w:r w:rsidRPr="003A1FE1">
        <w:rPr>
          <w:rFonts w:ascii="Times New Roman" w:hAnsi="Times New Roman"/>
          <w:bCs w:val="0"/>
        </w:rPr>
        <w:t>我國未有強制公開買賣或租賃制度，又私人與私人間所涉爭議為民事事件，大部分僅在雙方發生訴訟時才浮上檯面，故</w:t>
      </w:r>
      <w:r w:rsidRPr="003A1FE1">
        <w:rPr>
          <w:rFonts w:ascii="Times New Roman" w:hAnsi="Times New Roman"/>
        </w:rPr>
        <w:t>上開研究報告</w:t>
      </w:r>
      <w:r w:rsidRPr="003A1FE1">
        <w:rPr>
          <w:rStyle w:val="afe"/>
          <w:rFonts w:ascii="Times New Roman" w:hAnsi="Times New Roman"/>
        </w:rPr>
        <w:footnoteReference w:id="6"/>
      </w:r>
      <w:r w:rsidRPr="003A1FE1">
        <w:rPr>
          <w:rFonts w:ascii="Times New Roman" w:hAnsi="Times New Roman"/>
          <w:bCs w:val="0"/>
        </w:rPr>
        <w:t>以法律訴訟案件的整理，便於瞭解非原住民使用保留地所生爭議案件趨勢，依過去原住民族委員會所委託之研究報告，將訴訟案件類型整理分作</w:t>
      </w:r>
      <w:r w:rsidRPr="003A1FE1">
        <w:rPr>
          <w:rFonts w:ascii="Times New Roman" w:hAnsi="Times New Roman"/>
          <w:bCs w:val="0"/>
        </w:rPr>
        <w:t>90</w:t>
      </w:r>
      <w:r w:rsidRPr="003A1FE1">
        <w:rPr>
          <w:rFonts w:ascii="Times New Roman" w:hAnsi="Times New Roman"/>
          <w:bCs w:val="0"/>
        </w:rPr>
        <w:t>年前、後兩個階段觀察結果，</w:t>
      </w:r>
      <w:r w:rsidRPr="003A1FE1">
        <w:rPr>
          <w:rFonts w:ascii="Times New Roman" w:hAnsi="Times New Roman"/>
        </w:rPr>
        <w:t>90</w:t>
      </w:r>
      <w:r w:rsidRPr="003A1FE1">
        <w:rPr>
          <w:rFonts w:ascii="Times New Roman" w:hAnsi="Times New Roman"/>
        </w:rPr>
        <w:t>年以前計</w:t>
      </w:r>
      <w:r w:rsidRPr="003A1FE1">
        <w:rPr>
          <w:rFonts w:ascii="Times New Roman" w:hAnsi="Times New Roman"/>
        </w:rPr>
        <w:t>61</w:t>
      </w:r>
      <w:r w:rsidRPr="003A1FE1">
        <w:rPr>
          <w:rFonts w:ascii="Times New Roman" w:hAnsi="Times New Roman"/>
        </w:rPr>
        <w:t>件、</w:t>
      </w:r>
      <w:r w:rsidRPr="003A1FE1">
        <w:rPr>
          <w:rFonts w:ascii="Times New Roman" w:hAnsi="Times New Roman"/>
        </w:rPr>
        <w:t>90</w:t>
      </w:r>
      <w:r w:rsidRPr="003A1FE1">
        <w:rPr>
          <w:rFonts w:ascii="Times New Roman" w:hAnsi="Times New Roman"/>
        </w:rPr>
        <w:t>年以後計</w:t>
      </w:r>
      <w:r w:rsidRPr="003A1FE1">
        <w:rPr>
          <w:rFonts w:ascii="Times New Roman" w:hAnsi="Times New Roman"/>
        </w:rPr>
        <w:t>203</w:t>
      </w:r>
      <w:r w:rsidRPr="003A1FE1">
        <w:rPr>
          <w:rFonts w:ascii="Times New Roman" w:hAnsi="Times New Roman"/>
        </w:rPr>
        <w:t>件，其中非原住民使用保留地所造成之爭議</w:t>
      </w:r>
      <w:r w:rsidRPr="003A1FE1">
        <w:rPr>
          <w:rFonts w:ascii="Times New Roman" w:hAnsi="Times New Roman"/>
          <w:bCs w:val="0"/>
        </w:rPr>
        <w:t>，以「返還土地」、「所有權移轉登記」、「損害賠償」</w:t>
      </w:r>
      <w:r w:rsidRPr="003A1FE1">
        <w:rPr>
          <w:rStyle w:val="afe"/>
          <w:rFonts w:ascii="Times New Roman" w:hAnsi="Times New Roman"/>
        </w:rPr>
        <w:footnoteReference w:id="7"/>
      </w:r>
      <w:r w:rsidRPr="003A1FE1">
        <w:rPr>
          <w:rFonts w:ascii="Times New Roman" w:hAnsi="Times New Roman"/>
          <w:bCs w:val="0"/>
        </w:rPr>
        <w:t>等三類為大宗。就比例上而言，</w:t>
      </w:r>
      <w:r w:rsidRPr="003A1FE1">
        <w:rPr>
          <w:rFonts w:ascii="Times New Roman" w:hAnsi="Times New Roman"/>
          <w:bCs w:val="0"/>
        </w:rPr>
        <w:t>90</w:t>
      </w:r>
      <w:r w:rsidRPr="003A1FE1">
        <w:rPr>
          <w:rFonts w:ascii="Times New Roman" w:hAnsi="Times New Roman"/>
          <w:bCs w:val="0"/>
        </w:rPr>
        <w:t>年以前，此三大類並未超過總案例類型一半，然而近年來有增加趨勢，推測應與近</w:t>
      </w:r>
      <w:r w:rsidRPr="003A1FE1">
        <w:rPr>
          <w:rFonts w:ascii="Times New Roman" w:hAnsi="Times New Roman"/>
          <w:bCs w:val="0"/>
        </w:rPr>
        <w:t>10</w:t>
      </w:r>
      <w:r w:rsidRPr="003A1FE1">
        <w:rPr>
          <w:rFonts w:ascii="Times New Roman" w:hAnsi="Times New Roman"/>
          <w:bCs w:val="0"/>
        </w:rPr>
        <w:t>多年來，非原住民以各種方式使用保留地情況增加，進一步造成紛爭。此外，關於所有權、耕作權、地上權等糾紛亦</w:t>
      </w:r>
      <w:r w:rsidRPr="003A1FE1">
        <w:rPr>
          <w:rFonts w:ascii="Times New Roman" w:hAnsi="Times New Roman"/>
        </w:rPr>
        <w:t>頻增，</w:t>
      </w:r>
      <w:r w:rsidRPr="003A1FE1">
        <w:rPr>
          <w:rFonts w:ascii="Times New Roman" w:hAnsi="Times New Roman"/>
          <w:bCs w:val="0"/>
        </w:rPr>
        <w:t>自</w:t>
      </w:r>
      <w:r w:rsidRPr="003A1FE1">
        <w:rPr>
          <w:rFonts w:ascii="Times New Roman" w:hAnsi="Times New Roman"/>
          <w:bCs w:val="0"/>
        </w:rPr>
        <w:t>88</w:t>
      </w:r>
      <w:r w:rsidRPr="003A1FE1">
        <w:rPr>
          <w:rFonts w:ascii="Times New Roman" w:hAnsi="Times New Roman"/>
          <w:bCs w:val="0"/>
        </w:rPr>
        <w:t>年至今，該類爭議案件仍層出不窮，非原住民使用保留地議題爭論已久，可見非原住民違法使用保留地之爭議有增加趨勢。</w:t>
      </w:r>
    </w:p>
    <w:p w:rsidR="00121031" w:rsidRPr="003A1FE1" w:rsidRDefault="00121031" w:rsidP="00121031">
      <w:pPr>
        <w:pStyle w:val="3"/>
        <w:numPr>
          <w:ilvl w:val="2"/>
          <w:numId w:val="1"/>
        </w:numPr>
        <w:kinsoku w:val="0"/>
        <w:overflowPunct/>
        <w:autoSpaceDE/>
        <w:autoSpaceDN/>
        <w:ind w:left="1360" w:hanging="680"/>
        <w:rPr>
          <w:rFonts w:ascii="Times New Roman" w:hAnsi="Times New Roman"/>
          <w:b/>
        </w:rPr>
      </w:pPr>
      <w:r w:rsidRPr="003A1FE1">
        <w:rPr>
          <w:rFonts w:ascii="Times New Roman" w:hAnsi="Times New Roman"/>
        </w:rPr>
        <w:t>另該研究報告以保留地設定抵押權為非原住民取得使用保留地之方式為前提，並假設設定抵押權越高，則非原住民使用原住民保留地之數量有可能越高，分析尖石鄉、五峰鄉、和平區三個地區之保留地設定抵押權的狀況，得到初步結果，設定抵押權比例以筆數計分別為</w:t>
      </w:r>
      <w:r w:rsidRPr="003A1FE1">
        <w:rPr>
          <w:rFonts w:ascii="Times New Roman" w:hAnsi="Times New Roman"/>
        </w:rPr>
        <w:t>4.7</w:t>
      </w:r>
      <w:r w:rsidRPr="003A1FE1">
        <w:rPr>
          <w:rFonts w:ascii="Times New Roman" w:hAnsi="Times New Roman"/>
        </w:rPr>
        <w:t>％、</w:t>
      </w:r>
      <w:r w:rsidRPr="003A1FE1">
        <w:rPr>
          <w:rFonts w:ascii="Times New Roman" w:hAnsi="Times New Roman"/>
        </w:rPr>
        <w:t>8.3</w:t>
      </w:r>
      <w:r w:rsidRPr="003A1FE1">
        <w:rPr>
          <w:rFonts w:ascii="Times New Roman" w:hAnsi="Times New Roman"/>
        </w:rPr>
        <w:t>％、</w:t>
      </w:r>
      <w:r w:rsidRPr="003A1FE1">
        <w:rPr>
          <w:rFonts w:ascii="Times New Roman" w:hAnsi="Times New Roman"/>
        </w:rPr>
        <w:t>3.6</w:t>
      </w:r>
      <w:r w:rsidRPr="003A1FE1">
        <w:rPr>
          <w:rFonts w:ascii="Times New Roman" w:hAnsi="Times New Roman"/>
        </w:rPr>
        <w:t>％，以面積計分別為</w:t>
      </w:r>
      <w:r w:rsidRPr="003A1FE1">
        <w:rPr>
          <w:rFonts w:ascii="Times New Roman" w:hAnsi="Times New Roman"/>
        </w:rPr>
        <w:t>4.1</w:t>
      </w:r>
      <w:r w:rsidRPr="003A1FE1">
        <w:rPr>
          <w:rFonts w:ascii="Times New Roman" w:hAnsi="Times New Roman"/>
        </w:rPr>
        <w:t>％、</w:t>
      </w:r>
      <w:r w:rsidRPr="003A1FE1">
        <w:rPr>
          <w:rFonts w:ascii="Times New Roman" w:hAnsi="Times New Roman"/>
        </w:rPr>
        <w:t>11</w:t>
      </w:r>
      <w:r w:rsidRPr="003A1FE1">
        <w:rPr>
          <w:rFonts w:ascii="Times New Roman" w:hAnsi="Times New Roman"/>
        </w:rPr>
        <w:t>％、</w:t>
      </w:r>
      <w:r w:rsidRPr="003A1FE1">
        <w:rPr>
          <w:rFonts w:ascii="Times New Roman" w:hAnsi="Times New Roman"/>
        </w:rPr>
        <w:t>3.6</w:t>
      </w:r>
      <w:r w:rsidRPr="003A1FE1">
        <w:rPr>
          <w:rFonts w:ascii="Times New Roman" w:hAnsi="Times New Roman"/>
        </w:rPr>
        <w:t>％</w:t>
      </w:r>
      <w:r w:rsidRPr="003A1FE1">
        <w:rPr>
          <w:rFonts w:ascii="Times New Roman" w:hAnsi="Times New Roman"/>
        </w:rPr>
        <w:t>(</w:t>
      </w:r>
      <w:r w:rsidRPr="003A1FE1">
        <w:rPr>
          <w:rFonts w:ascii="Times New Roman" w:hAnsi="Times New Roman"/>
        </w:rPr>
        <w:t>如表</w:t>
      </w:r>
      <w:r w:rsidRPr="003A1FE1">
        <w:rPr>
          <w:rFonts w:ascii="Times New Roman" w:hAnsi="Times New Roman"/>
        </w:rPr>
        <w:t>4)</w:t>
      </w:r>
      <w:r w:rsidRPr="003A1FE1">
        <w:rPr>
          <w:rFonts w:ascii="Times New Roman" w:hAnsi="Times New Roman"/>
        </w:rPr>
        <w:t>，此一數據和學者</w:t>
      </w:r>
      <w:r w:rsidRPr="003A1FE1">
        <w:rPr>
          <w:rFonts w:ascii="Times New Roman" w:hAnsi="Times New Roman"/>
        </w:rPr>
        <w:lastRenderedPageBreak/>
        <w:t>進行之田野訪談結果相對照，顯示用設定抵押權的數量來推估非原住民使用原住民保留地的數量，雖有其缺點，但綜合言之，以設定抵押權的情形推估原住民與非原住民私下進行保留地「交易」之數量，確實是一個具一定可信度的方法</w:t>
      </w:r>
      <w:r w:rsidRPr="003A1FE1">
        <w:rPr>
          <w:rStyle w:val="afe"/>
          <w:rFonts w:ascii="Times New Roman" w:hAnsi="Times New Roman"/>
        </w:rPr>
        <w:footnoteReference w:id="8"/>
      </w:r>
      <w:r w:rsidRPr="003A1FE1">
        <w:rPr>
          <w:rFonts w:ascii="Times New Roman" w:hAnsi="Times New Roman"/>
        </w:rPr>
        <w:t>。</w:t>
      </w:r>
    </w:p>
    <w:p w:rsidR="00121031" w:rsidRPr="003A1FE1" w:rsidRDefault="00121031" w:rsidP="00121031">
      <w:pPr>
        <w:snapToGrid w:val="0"/>
        <w:rPr>
          <w:rFonts w:ascii="Times New Roman"/>
        </w:rPr>
      </w:pPr>
      <w:r w:rsidRPr="003A1FE1">
        <w:rPr>
          <w:rFonts w:ascii="Times New Roman"/>
        </w:rPr>
        <w:t>表</w:t>
      </w:r>
      <w:r w:rsidRPr="003A1FE1">
        <w:rPr>
          <w:rFonts w:ascii="Times New Roman"/>
        </w:rPr>
        <w:t xml:space="preserve">4 </w:t>
      </w:r>
      <w:r w:rsidRPr="003A1FE1">
        <w:rPr>
          <w:rFonts w:ascii="Times New Roman"/>
        </w:rPr>
        <w:t>尖石鄉、五峰鄉、和平區之保留地設定抵押權狀況</w:t>
      </w:r>
    </w:p>
    <w:p w:rsidR="00121031" w:rsidRPr="003A1FE1" w:rsidRDefault="00121031" w:rsidP="00121031">
      <w:pPr>
        <w:snapToGrid w:val="0"/>
        <w:jc w:val="right"/>
        <w:rPr>
          <w:rFonts w:ascii="Times New Roman"/>
          <w:b/>
        </w:rPr>
      </w:pPr>
      <w:r w:rsidRPr="003A1FE1">
        <w:rPr>
          <w:rFonts w:ascii="Times New Roman"/>
        </w:rPr>
        <w:t>單位：筆、公頃</w:t>
      </w:r>
    </w:p>
    <w:tbl>
      <w:tblPr>
        <w:tblW w:w="8838" w:type="dxa"/>
        <w:jc w:val="center"/>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04"/>
        <w:gridCol w:w="2118"/>
        <w:gridCol w:w="2238"/>
        <w:gridCol w:w="2178"/>
      </w:tblGrid>
      <w:tr w:rsidR="003A1FE1" w:rsidRPr="003A1FE1" w:rsidTr="00EC32D5">
        <w:trPr>
          <w:trHeight w:hRule="exact" w:val="680"/>
          <w:jc w:val="center"/>
        </w:trPr>
        <w:tc>
          <w:tcPr>
            <w:tcW w:w="23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031" w:rsidRPr="003A1FE1" w:rsidRDefault="00121031" w:rsidP="00DB0327">
            <w:pPr>
              <w:widowControl/>
              <w:snapToGrid w:val="0"/>
              <w:spacing w:beforeLines="50" w:afterLines="50"/>
              <w:jc w:val="center"/>
              <w:rPr>
                <w:rFonts w:ascii="Times New Roman"/>
                <w:kern w:val="0"/>
                <w:sz w:val="28"/>
                <w:szCs w:val="28"/>
              </w:rPr>
            </w:pPr>
            <w:r w:rsidRPr="003A1FE1">
              <w:rPr>
                <w:rFonts w:ascii="Times New Roman"/>
                <w:kern w:val="0"/>
                <w:sz w:val="28"/>
                <w:szCs w:val="28"/>
              </w:rPr>
              <w:t>項</w:t>
            </w:r>
            <w:r w:rsidRPr="003A1FE1">
              <w:rPr>
                <w:rFonts w:ascii="Times New Roman"/>
                <w:kern w:val="0"/>
                <w:sz w:val="28"/>
                <w:szCs w:val="28"/>
              </w:rPr>
              <w:t xml:space="preserve">  </w:t>
            </w:r>
            <w:r w:rsidRPr="003A1FE1">
              <w:rPr>
                <w:rFonts w:ascii="Times New Roman"/>
                <w:kern w:val="0"/>
                <w:sz w:val="28"/>
                <w:szCs w:val="28"/>
              </w:rPr>
              <w:t>目</w:t>
            </w:r>
          </w:p>
        </w:tc>
        <w:tc>
          <w:tcPr>
            <w:tcW w:w="2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031" w:rsidRPr="003A1FE1" w:rsidRDefault="00121031" w:rsidP="00DB0327">
            <w:pPr>
              <w:widowControl/>
              <w:snapToGrid w:val="0"/>
              <w:spacing w:beforeLines="50" w:afterLines="50"/>
              <w:jc w:val="center"/>
              <w:rPr>
                <w:rFonts w:ascii="Times New Roman"/>
                <w:kern w:val="0"/>
                <w:sz w:val="28"/>
                <w:szCs w:val="28"/>
              </w:rPr>
            </w:pPr>
            <w:r w:rsidRPr="003A1FE1">
              <w:rPr>
                <w:rFonts w:ascii="Times New Roman"/>
                <w:kern w:val="0"/>
                <w:sz w:val="28"/>
                <w:szCs w:val="28"/>
              </w:rPr>
              <w:t>尖石鄉</w:t>
            </w:r>
          </w:p>
        </w:tc>
        <w:tc>
          <w:tcPr>
            <w:tcW w:w="2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031" w:rsidRPr="003A1FE1" w:rsidRDefault="00121031" w:rsidP="00DB0327">
            <w:pPr>
              <w:widowControl/>
              <w:snapToGrid w:val="0"/>
              <w:spacing w:beforeLines="50" w:afterLines="50"/>
              <w:jc w:val="center"/>
              <w:rPr>
                <w:rFonts w:ascii="Times New Roman"/>
                <w:kern w:val="0"/>
                <w:sz w:val="28"/>
                <w:szCs w:val="28"/>
              </w:rPr>
            </w:pPr>
            <w:r w:rsidRPr="003A1FE1">
              <w:rPr>
                <w:rFonts w:ascii="Times New Roman"/>
                <w:kern w:val="0"/>
                <w:sz w:val="28"/>
                <w:szCs w:val="28"/>
              </w:rPr>
              <w:t>五峰鄉</w:t>
            </w:r>
          </w:p>
        </w:tc>
        <w:tc>
          <w:tcPr>
            <w:tcW w:w="21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031" w:rsidRPr="003A1FE1" w:rsidRDefault="00121031" w:rsidP="00DB0327">
            <w:pPr>
              <w:widowControl/>
              <w:snapToGrid w:val="0"/>
              <w:spacing w:beforeLines="50" w:afterLines="50"/>
              <w:jc w:val="center"/>
              <w:rPr>
                <w:rFonts w:ascii="Times New Roman"/>
                <w:kern w:val="0"/>
                <w:sz w:val="28"/>
                <w:szCs w:val="28"/>
              </w:rPr>
            </w:pPr>
            <w:r w:rsidRPr="003A1FE1">
              <w:rPr>
                <w:rFonts w:ascii="Times New Roman"/>
                <w:kern w:val="0"/>
                <w:sz w:val="28"/>
                <w:szCs w:val="28"/>
              </w:rPr>
              <w:t>和平區</w:t>
            </w:r>
          </w:p>
        </w:tc>
      </w:tr>
      <w:tr w:rsidR="003A1FE1" w:rsidRPr="003A1FE1" w:rsidTr="00B25F84">
        <w:trPr>
          <w:trHeight w:hRule="exact" w:val="680"/>
          <w:jc w:val="center"/>
        </w:trPr>
        <w:tc>
          <w:tcPr>
            <w:tcW w:w="2304" w:type="dxa"/>
            <w:tcBorders>
              <w:top w:val="single" w:sz="4" w:space="0" w:color="auto"/>
            </w:tcBorders>
            <w:shd w:val="clear" w:color="auto" w:fill="auto"/>
            <w:noWrap/>
            <w:vAlign w:val="center"/>
            <w:hideMark/>
          </w:tcPr>
          <w:p w:rsidR="00121031" w:rsidRPr="003A1FE1" w:rsidRDefault="00121031" w:rsidP="00DB0327">
            <w:pPr>
              <w:widowControl/>
              <w:snapToGrid w:val="0"/>
              <w:spacing w:beforeLines="50" w:afterLines="50"/>
              <w:jc w:val="center"/>
              <w:rPr>
                <w:rFonts w:ascii="Times New Roman"/>
                <w:kern w:val="0"/>
                <w:sz w:val="28"/>
                <w:szCs w:val="28"/>
              </w:rPr>
            </w:pPr>
            <w:r w:rsidRPr="003A1FE1">
              <w:rPr>
                <w:rFonts w:ascii="Times New Roman"/>
                <w:kern w:val="0"/>
                <w:sz w:val="28"/>
                <w:szCs w:val="28"/>
              </w:rPr>
              <w:t>設定抵押筆數</w:t>
            </w:r>
          </w:p>
        </w:tc>
        <w:tc>
          <w:tcPr>
            <w:tcW w:w="2118" w:type="dxa"/>
            <w:tcBorders>
              <w:top w:val="single" w:sz="4" w:space="0" w:color="auto"/>
            </w:tcBorders>
            <w:shd w:val="clear" w:color="auto" w:fill="auto"/>
            <w:noWrap/>
            <w:vAlign w:val="center"/>
            <w:hideMark/>
          </w:tcPr>
          <w:p w:rsidR="00121031" w:rsidRPr="003A1FE1" w:rsidRDefault="00121031" w:rsidP="00DB0327">
            <w:pPr>
              <w:widowControl/>
              <w:snapToGrid w:val="0"/>
              <w:spacing w:beforeLines="50" w:afterLines="50"/>
              <w:jc w:val="right"/>
              <w:rPr>
                <w:rFonts w:ascii="Times New Roman"/>
                <w:kern w:val="0"/>
                <w:sz w:val="28"/>
                <w:szCs w:val="28"/>
              </w:rPr>
            </w:pPr>
            <w:r w:rsidRPr="003A1FE1">
              <w:rPr>
                <w:rFonts w:ascii="Times New Roman"/>
                <w:kern w:val="0"/>
                <w:sz w:val="28"/>
                <w:szCs w:val="28"/>
              </w:rPr>
              <w:t>908</w:t>
            </w:r>
          </w:p>
        </w:tc>
        <w:tc>
          <w:tcPr>
            <w:tcW w:w="2238" w:type="dxa"/>
            <w:tcBorders>
              <w:top w:val="single" w:sz="4" w:space="0" w:color="auto"/>
            </w:tcBorders>
            <w:shd w:val="clear" w:color="auto" w:fill="auto"/>
            <w:noWrap/>
            <w:vAlign w:val="center"/>
            <w:hideMark/>
          </w:tcPr>
          <w:p w:rsidR="00121031" w:rsidRPr="003A1FE1" w:rsidRDefault="00121031" w:rsidP="00DB0327">
            <w:pPr>
              <w:widowControl/>
              <w:snapToGrid w:val="0"/>
              <w:spacing w:beforeLines="50" w:afterLines="50"/>
              <w:jc w:val="right"/>
              <w:rPr>
                <w:rFonts w:ascii="Times New Roman"/>
                <w:kern w:val="0"/>
                <w:sz w:val="28"/>
                <w:szCs w:val="28"/>
              </w:rPr>
            </w:pPr>
            <w:r w:rsidRPr="003A1FE1">
              <w:rPr>
                <w:rFonts w:ascii="Times New Roman"/>
                <w:kern w:val="0"/>
                <w:sz w:val="28"/>
                <w:szCs w:val="28"/>
              </w:rPr>
              <w:t>1050</w:t>
            </w:r>
          </w:p>
        </w:tc>
        <w:tc>
          <w:tcPr>
            <w:tcW w:w="2178" w:type="dxa"/>
            <w:tcBorders>
              <w:top w:val="single" w:sz="4" w:space="0" w:color="auto"/>
            </w:tcBorders>
            <w:shd w:val="clear" w:color="auto" w:fill="auto"/>
            <w:noWrap/>
            <w:vAlign w:val="center"/>
            <w:hideMark/>
          </w:tcPr>
          <w:p w:rsidR="00121031" w:rsidRPr="003A1FE1" w:rsidRDefault="00121031" w:rsidP="00DB0327">
            <w:pPr>
              <w:widowControl/>
              <w:snapToGrid w:val="0"/>
              <w:spacing w:beforeLines="50" w:afterLines="50"/>
              <w:jc w:val="right"/>
              <w:rPr>
                <w:rFonts w:ascii="Times New Roman"/>
                <w:kern w:val="0"/>
                <w:sz w:val="28"/>
                <w:szCs w:val="28"/>
              </w:rPr>
            </w:pPr>
            <w:r w:rsidRPr="003A1FE1">
              <w:rPr>
                <w:rFonts w:ascii="Times New Roman"/>
                <w:kern w:val="0"/>
                <w:sz w:val="28"/>
                <w:szCs w:val="28"/>
              </w:rPr>
              <w:t>582</w:t>
            </w:r>
          </w:p>
        </w:tc>
      </w:tr>
      <w:tr w:rsidR="003A1FE1" w:rsidRPr="003A1FE1" w:rsidTr="00B25F84">
        <w:trPr>
          <w:trHeight w:hRule="exact" w:val="680"/>
          <w:jc w:val="center"/>
        </w:trPr>
        <w:tc>
          <w:tcPr>
            <w:tcW w:w="2304" w:type="dxa"/>
            <w:shd w:val="clear" w:color="auto" w:fill="auto"/>
            <w:noWrap/>
            <w:vAlign w:val="center"/>
            <w:hideMark/>
          </w:tcPr>
          <w:p w:rsidR="00121031" w:rsidRPr="003A1FE1" w:rsidRDefault="00121031" w:rsidP="00DB0327">
            <w:pPr>
              <w:widowControl/>
              <w:snapToGrid w:val="0"/>
              <w:spacing w:beforeLines="50" w:afterLines="50"/>
              <w:jc w:val="center"/>
              <w:rPr>
                <w:rFonts w:ascii="Times New Roman"/>
                <w:kern w:val="0"/>
                <w:sz w:val="28"/>
                <w:szCs w:val="28"/>
              </w:rPr>
            </w:pPr>
            <w:r w:rsidRPr="003A1FE1">
              <w:rPr>
                <w:rFonts w:ascii="Times New Roman"/>
                <w:kern w:val="0"/>
                <w:sz w:val="28"/>
                <w:szCs w:val="28"/>
              </w:rPr>
              <w:t>保留地總筆數</w:t>
            </w:r>
          </w:p>
        </w:tc>
        <w:tc>
          <w:tcPr>
            <w:tcW w:w="2118" w:type="dxa"/>
            <w:shd w:val="clear" w:color="auto" w:fill="auto"/>
            <w:noWrap/>
            <w:vAlign w:val="center"/>
            <w:hideMark/>
          </w:tcPr>
          <w:p w:rsidR="00121031" w:rsidRPr="003A1FE1" w:rsidRDefault="00121031" w:rsidP="00DB0327">
            <w:pPr>
              <w:widowControl/>
              <w:snapToGrid w:val="0"/>
              <w:spacing w:beforeLines="50" w:afterLines="50"/>
              <w:jc w:val="right"/>
              <w:rPr>
                <w:rFonts w:ascii="Times New Roman"/>
                <w:kern w:val="0"/>
                <w:sz w:val="28"/>
                <w:szCs w:val="28"/>
              </w:rPr>
            </w:pPr>
            <w:r w:rsidRPr="003A1FE1">
              <w:rPr>
                <w:rFonts w:ascii="Times New Roman"/>
                <w:kern w:val="0"/>
                <w:sz w:val="28"/>
                <w:szCs w:val="28"/>
              </w:rPr>
              <w:t>19304</w:t>
            </w:r>
          </w:p>
        </w:tc>
        <w:tc>
          <w:tcPr>
            <w:tcW w:w="2238" w:type="dxa"/>
            <w:shd w:val="clear" w:color="auto" w:fill="auto"/>
            <w:noWrap/>
            <w:vAlign w:val="center"/>
            <w:hideMark/>
          </w:tcPr>
          <w:p w:rsidR="00121031" w:rsidRPr="003A1FE1" w:rsidRDefault="00121031" w:rsidP="00DB0327">
            <w:pPr>
              <w:widowControl/>
              <w:snapToGrid w:val="0"/>
              <w:spacing w:beforeLines="50" w:afterLines="50"/>
              <w:jc w:val="right"/>
              <w:rPr>
                <w:rFonts w:ascii="Times New Roman"/>
                <w:kern w:val="0"/>
                <w:sz w:val="28"/>
                <w:szCs w:val="28"/>
              </w:rPr>
            </w:pPr>
            <w:r w:rsidRPr="003A1FE1">
              <w:rPr>
                <w:rFonts w:ascii="Times New Roman"/>
                <w:kern w:val="0"/>
                <w:sz w:val="28"/>
                <w:szCs w:val="28"/>
              </w:rPr>
              <w:t>12578</w:t>
            </w:r>
          </w:p>
        </w:tc>
        <w:tc>
          <w:tcPr>
            <w:tcW w:w="2178" w:type="dxa"/>
            <w:shd w:val="clear" w:color="auto" w:fill="auto"/>
            <w:noWrap/>
            <w:vAlign w:val="center"/>
            <w:hideMark/>
          </w:tcPr>
          <w:p w:rsidR="00121031" w:rsidRPr="003A1FE1" w:rsidRDefault="00121031" w:rsidP="00DB0327">
            <w:pPr>
              <w:widowControl/>
              <w:snapToGrid w:val="0"/>
              <w:spacing w:beforeLines="50" w:afterLines="50"/>
              <w:jc w:val="right"/>
              <w:rPr>
                <w:rFonts w:ascii="Times New Roman"/>
                <w:kern w:val="0"/>
                <w:sz w:val="28"/>
                <w:szCs w:val="28"/>
              </w:rPr>
            </w:pPr>
            <w:r w:rsidRPr="003A1FE1">
              <w:rPr>
                <w:rFonts w:ascii="Times New Roman"/>
                <w:kern w:val="0"/>
                <w:sz w:val="28"/>
                <w:szCs w:val="28"/>
              </w:rPr>
              <w:t>16154</w:t>
            </w:r>
          </w:p>
        </w:tc>
      </w:tr>
      <w:tr w:rsidR="003A1FE1" w:rsidRPr="003A1FE1" w:rsidTr="00B25F84">
        <w:trPr>
          <w:trHeight w:hRule="exact" w:val="851"/>
          <w:jc w:val="center"/>
        </w:trPr>
        <w:tc>
          <w:tcPr>
            <w:tcW w:w="2304" w:type="dxa"/>
            <w:shd w:val="clear" w:color="auto" w:fill="auto"/>
            <w:noWrap/>
            <w:vAlign w:val="center"/>
            <w:hideMark/>
          </w:tcPr>
          <w:p w:rsidR="00121031" w:rsidRPr="003A1FE1" w:rsidRDefault="00121031" w:rsidP="00EC32D5">
            <w:pPr>
              <w:widowControl/>
              <w:snapToGrid w:val="0"/>
              <w:jc w:val="center"/>
              <w:rPr>
                <w:rFonts w:ascii="Times New Roman"/>
                <w:kern w:val="0"/>
                <w:sz w:val="28"/>
                <w:szCs w:val="28"/>
              </w:rPr>
            </w:pPr>
            <w:r w:rsidRPr="003A1FE1">
              <w:rPr>
                <w:rFonts w:ascii="Times New Roman"/>
                <w:kern w:val="0"/>
                <w:sz w:val="28"/>
                <w:szCs w:val="28"/>
              </w:rPr>
              <w:t>設定抵押比例</w:t>
            </w:r>
          </w:p>
          <w:p w:rsidR="00121031" w:rsidRPr="003A1FE1" w:rsidRDefault="00EC32D5" w:rsidP="00EC32D5">
            <w:pPr>
              <w:widowControl/>
              <w:snapToGrid w:val="0"/>
              <w:jc w:val="center"/>
              <w:rPr>
                <w:rFonts w:ascii="Times New Roman"/>
                <w:kern w:val="0"/>
                <w:sz w:val="28"/>
                <w:szCs w:val="28"/>
              </w:rPr>
            </w:pPr>
            <w:r w:rsidRPr="003A1FE1">
              <w:rPr>
                <w:rFonts w:hAnsi="標楷體" w:hint="eastAsia"/>
                <w:kern w:val="0"/>
                <w:sz w:val="28"/>
                <w:szCs w:val="28"/>
              </w:rPr>
              <w:t>(</w:t>
            </w:r>
            <w:r w:rsidR="00121031" w:rsidRPr="003A1FE1">
              <w:rPr>
                <w:rFonts w:ascii="Times New Roman"/>
                <w:kern w:val="0"/>
                <w:sz w:val="28"/>
                <w:szCs w:val="28"/>
              </w:rPr>
              <w:t>以筆數計</w:t>
            </w:r>
            <w:r w:rsidRPr="003A1FE1">
              <w:rPr>
                <w:rFonts w:hAnsi="標楷體" w:hint="eastAsia"/>
                <w:kern w:val="0"/>
                <w:sz w:val="28"/>
                <w:szCs w:val="28"/>
              </w:rPr>
              <w:t>)</w:t>
            </w:r>
          </w:p>
        </w:tc>
        <w:tc>
          <w:tcPr>
            <w:tcW w:w="2118" w:type="dxa"/>
            <w:shd w:val="clear" w:color="auto" w:fill="auto"/>
            <w:noWrap/>
            <w:vAlign w:val="center"/>
            <w:hideMark/>
          </w:tcPr>
          <w:p w:rsidR="00121031" w:rsidRPr="003A1FE1" w:rsidRDefault="00121031" w:rsidP="00DB0327">
            <w:pPr>
              <w:widowControl/>
              <w:snapToGrid w:val="0"/>
              <w:spacing w:beforeLines="50" w:afterLines="50"/>
              <w:jc w:val="right"/>
              <w:rPr>
                <w:rFonts w:ascii="Times New Roman"/>
                <w:kern w:val="0"/>
                <w:sz w:val="28"/>
                <w:szCs w:val="28"/>
              </w:rPr>
            </w:pPr>
            <w:r w:rsidRPr="003A1FE1">
              <w:rPr>
                <w:rFonts w:ascii="Times New Roman"/>
                <w:kern w:val="0"/>
                <w:sz w:val="28"/>
                <w:szCs w:val="28"/>
              </w:rPr>
              <w:t>4.7</w:t>
            </w:r>
            <w:r w:rsidRPr="003A1FE1">
              <w:rPr>
                <w:rFonts w:ascii="Times New Roman"/>
                <w:kern w:val="0"/>
                <w:sz w:val="28"/>
                <w:szCs w:val="28"/>
              </w:rPr>
              <w:t>％</w:t>
            </w:r>
          </w:p>
        </w:tc>
        <w:tc>
          <w:tcPr>
            <w:tcW w:w="2238" w:type="dxa"/>
            <w:shd w:val="clear" w:color="auto" w:fill="auto"/>
            <w:noWrap/>
            <w:vAlign w:val="center"/>
            <w:hideMark/>
          </w:tcPr>
          <w:p w:rsidR="00121031" w:rsidRPr="003A1FE1" w:rsidRDefault="00121031" w:rsidP="00DB0327">
            <w:pPr>
              <w:widowControl/>
              <w:snapToGrid w:val="0"/>
              <w:spacing w:beforeLines="50" w:afterLines="50"/>
              <w:jc w:val="right"/>
              <w:rPr>
                <w:rFonts w:ascii="Times New Roman"/>
                <w:kern w:val="0"/>
                <w:sz w:val="28"/>
                <w:szCs w:val="28"/>
              </w:rPr>
            </w:pPr>
            <w:r w:rsidRPr="003A1FE1">
              <w:rPr>
                <w:rFonts w:ascii="Times New Roman"/>
                <w:kern w:val="0"/>
                <w:sz w:val="28"/>
                <w:szCs w:val="28"/>
              </w:rPr>
              <w:t>8.3</w:t>
            </w:r>
            <w:r w:rsidRPr="003A1FE1">
              <w:rPr>
                <w:rFonts w:ascii="Times New Roman"/>
                <w:kern w:val="0"/>
                <w:sz w:val="28"/>
                <w:szCs w:val="28"/>
              </w:rPr>
              <w:t>％</w:t>
            </w:r>
          </w:p>
        </w:tc>
        <w:tc>
          <w:tcPr>
            <w:tcW w:w="2178" w:type="dxa"/>
            <w:shd w:val="clear" w:color="auto" w:fill="auto"/>
            <w:noWrap/>
            <w:vAlign w:val="center"/>
            <w:hideMark/>
          </w:tcPr>
          <w:p w:rsidR="00121031" w:rsidRPr="003A1FE1" w:rsidRDefault="00121031" w:rsidP="00DB0327">
            <w:pPr>
              <w:widowControl/>
              <w:snapToGrid w:val="0"/>
              <w:spacing w:beforeLines="50" w:afterLines="50"/>
              <w:jc w:val="right"/>
              <w:rPr>
                <w:rFonts w:ascii="Times New Roman"/>
                <w:kern w:val="0"/>
                <w:sz w:val="28"/>
                <w:szCs w:val="28"/>
              </w:rPr>
            </w:pPr>
            <w:r w:rsidRPr="003A1FE1">
              <w:rPr>
                <w:rFonts w:ascii="Times New Roman"/>
                <w:kern w:val="0"/>
                <w:sz w:val="28"/>
                <w:szCs w:val="28"/>
              </w:rPr>
              <w:t>3.6</w:t>
            </w:r>
            <w:r w:rsidRPr="003A1FE1">
              <w:rPr>
                <w:rFonts w:ascii="Times New Roman"/>
                <w:kern w:val="0"/>
                <w:sz w:val="28"/>
                <w:szCs w:val="28"/>
              </w:rPr>
              <w:t>％</w:t>
            </w:r>
          </w:p>
        </w:tc>
      </w:tr>
      <w:tr w:rsidR="003A1FE1" w:rsidRPr="003A1FE1" w:rsidTr="00B25F84">
        <w:trPr>
          <w:trHeight w:hRule="exact" w:val="851"/>
          <w:jc w:val="center"/>
        </w:trPr>
        <w:tc>
          <w:tcPr>
            <w:tcW w:w="2304" w:type="dxa"/>
            <w:shd w:val="clear" w:color="auto" w:fill="auto"/>
            <w:noWrap/>
            <w:vAlign w:val="center"/>
            <w:hideMark/>
          </w:tcPr>
          <w:p w:rsidR="00121031" w:rsidRPr="003A1FE1" w:rsidRDefault="00121031" w:rsidP="00EC32D5">
            <w:pPr>
              <w:widowControl/>
              <w:snapToGrid w:val="0"/>
              <w:jc w:val="center"/>
              <w:rPr>
                <w:rFonts w:ascii="Times New Roman"/>
                <w:kern w:val="0"/>
                <w:sz w:val="28"/>
                <w:szCs w:val="28"/>
              </w:rPr>
            </w:pPr>
            <w:r w:rsidRPr="003A1FE1">
              <w:rPr>
                <w:rFonts w:ascii="Times New Roman"/>
                <w:kern w:val="0"/>
                <w:sz w:val="28"/>
                <w:szCs w:val="28"/>
              </w:rPr>
              <w:t>設定抵押面積</w:t>
            </w:r>
          </w:p>
        </w:tc>
        <w:tc>
          <w:tcPr>
            <w:tcW w:w="2118" w:type="dxa"/>
            <w:shd w:val="clear" w:color="auto" w:fill="auto"/>
            <w:noWrap/>
            <w:vAlign w:val="center"/>
            <w:hideMark/>
          </w:tcPr>
          <w:p w:rsidR="00121031" w:rsidRPr="003A1FE1" w:rsidRDefault="00121031" w:rsidP="00DB0327">
            <w:pPr>
              <w:widowControl/>
              <w:snapToGrid w:val="0"/>
              <w:spacing w:beforeLines="50" w:afterLines="50"/>
              <w:jc w:val="right"/>
              <w:rPr>
                <w:rFonts w:ascii="Times New Roman"/>
                <w:kern w:val="0"/>
                <w:sz w:val="28"/>
                <w:szCs w:val="28"/>
              </w:rPr>
            </w:pPr>
            <w:r w:rsidRPr="003A1FE1">
              <w:rPr>
                <w:rFonts w:ascii="Times New Roman"/>
                <w:kern w:val="0"/>
                <w:sz w:val="28"/>
                <w:szCs w:val="28"/>
              </w:rPr>
              <w:t>466.2906</w:t>
            </w:r>
          </w:p>
        </w:tc>
        <w:tc>
          <w:tcPr>
            <w:tcW w:w="2238" w:type="dxa"/>
            <w:shd w:val="clear" w:color="auto" w:fill="auto"/>
            <w:noWrap/>
            <w:vAlign w:val="center"/>
            <w:hideMark/>
          </w:tcPr>
          <w:p w:rsidR="00121031" w:rsidRPr="003A1FE1" w:rsidRDefault="00121031" w:rsidP="00DB0327">
            <w:pPr>
              <w:widowControl/>
              <w:snapToGrid w:val="0"/>
              <w:spacing w:beforeLines="50" w:afterLines="50"/>
              <w:jc w:val="right"/>
              <w:rPr>
                <w:rFonts w:ascii="Times New Roman"/>
                <w:kern w:val="0"/>
                <w:sz w:val="28"/>
                <w:szCs w:val="28"/>
              </w:rPr>
            </w:pPr>
            <w:r w:rsidRPr="003A1FE1">
              <w:rPr>
                <w:rFonts w:ascii="Times New Roman"/>
                <w:kern w:val="0"/>
                <w:sz w:val="28"/>
                <w:szCs w:val="28"/>
              </w:rPr>
              <w:t>723.8960</w:t>
            </w:r>
          </w:p>
        </w:tc>
        <w:tc>
          <w:tcPr>
            <w:tcW w:w="2178" w:type="dxa"/>
            <w:shd w:val="clear" w:color="auto" w:fill="auto"/>
            <w:noWrap/>
            <w:vAlign w:val="center"/>
            <w:hideMark/>
          </w:tcPr>
          <w:p w:rsidR="00121031" w:rsidRPr="003A1FE1" w:rsidRDefault="00121031" w:rsidP="00DB0327">
            <w:pPr>
              <w:widowControl/>
              <w:snapToGrid w:val="0"/>
              <w:spacing w:beforeLines="50" w:afterLines="50"/>
              <w:jc w:val="right"/>
              <w:rPr>
                <w:rFonts w:ascii="Times New Roman"/>
                <w:kern w:val="0"/>
                <w:sz w:val="28"/>
                <w:szCs w:val="28"/>
              </w:rPr>
            </w:pPr>
            <w:r w:rsidRPr="003A1FE1">
              <w:rPr>
                <w:rFonts w:ascii="Times New Roman"/>
                <w:kern w:val="0"/>
                <w:sz w:val="28"/>
                <w:szCs w:val="28"/>
              </w:rPr>
              <w:t>224.8521</w:t>
            </w:r>
          </w:p>
        </w:tc>
      </w:tr>
      <w:tr w:rsidR="003A1FE1" w:rsidRPr="003A1FE1" w:rsidTr="00B25F84">
        <w:trPr>
          <w:trHeight w:hRule="exact" w:val="851"/>
          <w:jc w:val="center"/>
        </w:trPr>
        <w:tc>
          <w:tcPr>
            <w:tcW w:w="2304" w:type="dxa"/>
            <w:shd w:val="clear" w:color="auto" w:fill="auto"/>
            <w:noWrap/>
            <w:vAlign w:val="center"/>
            <w:hideMark/>
          </w:tcPr>
          <w:p w:rsidR="00121031" w:rsidRPr="003A1FE1" w:rsidRDefault="00121031" w:rsidP="00EC32D5">
            <w:pPr>
              <w:widowControl/>
              <w:snapToGrid w:val="0"/>
              <w:jc w:val="center"/>
              <w:rPr>
                <w:rFonts w:ascii="Times New Roman"/>
                <w:kern w:val="0"/>
                <w:sz w:val="28"/>
                <w:szCs w:val="28"/>
              </w:rPr>
            </w:pPr>
            <w:r w:rsidRPr="003A1FE1">
              <w:rPr>
                <w:rFonts w:ascii="Times New Roman"/>
                <w:kern w:val="0"/>
                <w:sz w:val="28"/>
                <w:szCs w:val="28"/>
              </w:rPr>
              <w:t>保留地總面積</w:t>
            </w:r>
          </w:p>
        </w:tc>
        <w:tc>
          <w:tcPr>
            <w:tcW w:w="2118" w:type="dxa"/>
            <w:shd w:val="clear" w:color="auto" w:fill="auto"/>
            <w:noWrap/>
            <w:vAlign w:val="center"/>
            <w:hideMark/>
          </w:tcPr>
          <w:p w:rsidR="00121031" w:rsidRPr="003A1FE1" w:rsidRDefault="00121031" w:rsidP="00DB0327">
            <w:pPr>
              <w:widowControl/>
              <w:snapToGrid w:val="0"/>
              <w:spacing w:beforeLines="50" w:afterLines="50"/>
              <w:jc w:val="right"/>
              <w:rPr>
                <w:rFonts w:ascii="Times New Roman"/>
                <w:kern w:val="0"/>
                <w:sz w:val="28"/>
                <w:szCs w:val="28"/>
              </w:rPr>
            </w:pPr>
            <w:r w:rsidRPr="003A1FE1">
              <w:rPr>
                <w:rFonts w:ascii="Times New Roman"/>
                <w:kern w:val="0"/>
                <w:sz w:val="28"/>
                <w:szCs w:val="28"/>
              </w:rPr>
              <w:t>11369.6617</w:t>
            </w:r>
          </w:p>
        </w:tc>
        <w:tc>
          <w:tcPr>
            <w:tcW w:w="2238" w:type="dxa"/>
            <w:shd w:val="clear" w:color="auto" w:fill="auto"/>
            <w:noWrap/>
            <w:vAlign w:val="center"/>
            <w:hideMark/>
          </w:tcPr>
          <w:p w:rsidR="00121031" w:rsidRPr="003A1FE1" w:rsidRDefault="00121031" w:rsidP="00DB0327">
            <w:pPr>
              <w:widowControl/>
              <w:snapToGrid w:val="0"/>
              <w:spacing w:beforeLines="50" w:afterLines="50"/>
              <w:jc w:val="right"/>
              <w:rPr>
                <w:rFonts w:ascii="Times New Roman"/>
                <w:kern w:val="0"/>
                <w:sz w:val="28"/>
                <w:szCs w:val="28"/>
              </w:rPr>
            </w:pPr>
            <w:r w:rsidRPr="003A1FE1">
              <w:rPr>
                <w:rFonts w:ascii="Times New Roman"/>
                <w:kern w:val="0"/>
                <w:sz w:val="28"/>
                <w:szCs w:val="28"/>
              </w:rPr>
              <w:t>6572.8920</w:t>
            </w:r>
          </w:p>
        </w:tc>
        <w:tc>
          <w:tcPr>
            <w:tcW w:w="2178" w:type="dxa"/>
            <w:shd w:val="clear" w:color="auto" w:fill="auto"/>
            <w:noWrap/>
            <w:vAlign w:val="center"/>
            <w:hideMark/>
          </w:tcPr>
          <w:p w:rsidR="00121031" w:rsidRPr="003A1FE1" w:rsidRDefault="00121031" w:rsidP="00DB0327">
            <w:pPr>
              <w:widowControl/>
              <w:snapToGrid w:val="0"/>
              <w:spacing w:beforeLines="50" w:afterLines="50"/>
              <w:jc w:val="right"/>
              <w:rPr>
                <w:rFonts w:ascii="Times New Roman"/>
                <w:kern w:val="0"/>
                <w:sz w:val="28"/>
                <w:szCs w:val="28"/>
              </w:rPr>
            </w:pPr>
            <w:r w:rsidRPr="003A1FE1">
              <w:rPr>
                <w:rFonts w:ascii="Times New Roman"/>
                <w:kern w:val="0"/>
                <w:sz w:val="28"/>
                <w:szCs w:val="28"/>
              </w:rPr>
              <w:t>6262.3115</w:t>
            </w:r>
          </w:p>
        </w:tc>
      </w:tr>
      <w:tr w:rsidR="003A1FE1" w:rsidRPr="003A1FE1" w:rsidTr="00EC32D5">
        <w:trPr>
          <w:trHeight w:hRule="exact" w:val="851"/>
          <w:jc w:val="center"/>
        </w:trPr>
        <w:tc>
          <w:tcPr>
            <w:tcW w:w="2304" w:type="dxa"/>
            <w:shd w:val="clear" w:color="auto" w:fill="auto"/>
            <w:noWrap/>
            <w:vAlign w:val="center"/>
            <w:hideMark/>
          </w:tcPr>
          <w:p w:rsidR="00121031" w:rsidRPr="003A1FE1" w:rsidRDefault="00121031" w:rsidP="00EC32D5">
            <w:pPr>
              <w:widowControl/>
              <w:snapToGrid w:val="0"/>
              <w:jc w:val="center"/>
              <w:rPr>
                <w:rFonts w:ascii="Times New Roman"/>
                <w:kern w:val="0"/>
                <w:sz w:val="28"/>
                <w:szCs w:val="28"/>
              </w:rPr>
            </w:pPr>
            <w:r w:rsidRPr="003A1FE1">
              <w:rPr>
                <w:rFonts w:ascii="Times New Roman"/>
                <w:kern w:val="0"/>
                <w:sz w:val="28"/>
                <w:szCs w:val="28"/>
              </w:rPr>
              <w:t>設定抵押比例</w:t>
            </w:r>
          </w:p>
          <w:p w:rsidR="00121031" w:rsidRPr="003A1FE1" w:rsidRDefault="00EC32D5" w:rsidP="00EC32D5">
            <w:pPr>
              <w:widowControl/>
              <w:snapToGrid w:val="0"/>
              <w:jc w:val="center"/>
              <w:rPr>
                <w:rFonts w:ascii="Times New Roman"/>
                <w:kern w:val="0"/>
                <w:sz w:val="28"/>
                <w:szCs w:val="28"/>
              </w:rPr>
            </w:pPr>
            <w:r w:rsidRPr="003A1FE1">
              <w:rPr>
                <w:rFonts w:hAnsi="標楷體" w:hint="eastAsia"/>
                <w:kern w:val="0"/>
                <w:sz w:val="28"/>
                <w:szCs w:val="28"/>
              </w:rPr>
              <w:t>(</w:t>
            </w:r>
            <w:r w:rsidR="00121031" w:rsidRPr="003A1FE1">
              <w:rPr>
                <w:rFonts w:ascii="Times New Roman"/>
                <w:kern w:val="0"/>
                <w:sz w:val="28"/>
                <w:szCs w:val="28"/>
              </w:rPr>
              <w:t>以面積計</w:t>
            </w:r>
            <w:r w:rsidRPr="003A1FE1">
              <w:rPr>
                <w:rFonts w:hAnsi="標楷體" w:hint="eastAsia"/>
                <w:kern w:val="0"/>
                <w:sz w:val="28"/>
                <w:szCs w:val="28"/>
              </w:rPr>
              <w:t>)</w:t>
            </w:r>
          </w:p>
        </w:tc>
        <w:tc>
          <w:tcPr>
            <w:tcW w:w="2118" w:type="dxa"/>
            <w:shd w:val="clear" w:color="auto" w:fill="auto"/>
            <w:noWrap/>
            <w:vAlign w:val="center"/>
            <w:hideMark/>
          </w:tcPr>
          <w:p w:rsidR="00121031" w:rsidRPr="003A1FE1" w:rsidRDefault="00121031" w:rsidP="00DB0327">
            <w:pPr>
              <w:widowControl/>
              <w:snapToGrid w:val="0"/>
              <w:spacing w:beforeLines="50" w:afterLines="50"/>
              <w:jc w:val="right"/>
              <w:rPr>
                <w:rFonts w:ascii="Times New Roman"/>
                <w:kern w:val="0"/>
                <w:sz w:val="28"/>
                <w:szCs w:val="28"/>
              </w:rPr>
            </w:pPr>
            <w:r w:rsidRPr="003A1FE1">
              <w:rPr>
                <w:rFonts w:ascii="Times New Roman"/>
                <w:kern w:val="0"/>
                <w:sz w:val="28"/>
                <w:szCs w:val="28"/>
              </w:rPr>
              <w:t>4.1</w:t>
            </w:r>
            <w:r w:rsidRPr="003A1FE1">
              <w:rPr>
                <w:rFonts w:ascii="Times New Roman"/>
                <w:kern w:val="0"/>
                <w:sz w:val="28"/>
                <w:szCs w:val="28"/>
              </w:rPr>
              <w:t>％</w:t>
            </w:r>
          </w:p>
        </w:tc>
        <w:tc>
          <w:tcPr>
            <w:tcW w:w="2238" w:type="dxa"/>
            <w:shd w:val="clear" w:color="auto" w:fill="auto"/>
            <w:noWrap/>
            <w:vAlign w:val="center"/>
            <w:hideMark/>
          </w:tcPr>
          <w:p w:rsidR="00121031" w:rsidRPr="003A1FE1" w:rsidRDefault="00121031" w:rsidP="00DB0327">
            <w:pPr>
              <w:widowControl/>
              <w:snapToGrid w:val="0"/>
              <w:spacing w:beforeLines="50" w:afterLines="50"/>
              <w:jc w:val="right"/>
              <w:rPr>
                <w:rFonts w:ascii="Times New Roman"/>
                <w:kern w:val="0"/>
                <w:sz w:val="28"/>
                <w:szCs w:val="28"/>
              </w:rPr>
            </w:pPr>
            <w:r w:rsidRPr="003A1FE1">
              <w:rPr>
                <w:rFonts w:ascii="Times New Roman"/>
                <w:kern w:val="0"/>
                <w:sz w:val="28"/>
                <w:szCs w:val="28"/>
              </w:rPr>
              <w:t>11</w:t>
            </w:r>
            <w:r w:rsidRPr="003A1FE1">
              <w:rPr>
                <w:rFonts w:ascii="Times New Roman"/>
                <w:kern w:val="0"/>
                <w:sz w:val="28"/>
                <w:szCs w:val="28"/>
              </w:rPr>
              <w:t>％</w:t>
            </w:r>
          </w:p>
        </w:tc>
        <w:tc>
          <w:tcPr>
            <w:tcW w:w="2178" w:type="dxa"/>
            <w:shd w:val="clear" w:color="auto" w:fill="auto"/>
            <w:noWrap/>
            <w:vAlign w:val="center"/>
            <w:hideMark/>
          </w:tcPr>
          <w:p w:rsidR="00121031" w:rsidRPr="003A1FE1" w:rsidRDefault="00121031" w:rsidP="00DB0327">
            <w:pPr>
              <w:widowControl/>
              <w:snapToGrid w:val="0"/>
              <w:spacing w:beforeLines="50" w:afterLines="50"/>
              <w:jc w:val="right"/>
              <w:rPr>
                <w:rFonts w:ascii="Times New Roman"/>
                <w:kern w:val="0"/>
                <w:sz w:val="28"/>
                <w:szCs w:val="28"/>
              </w:rPr>
            </w:pPr>
            <w:r w:rsidRPr="003A1FE1">
              <w:rPr>
                <w:rFonts w:ascii="Times New Roman"/>
                <w:kern w:val="0"/>
                <w:sz w:val="28"/>
                <w:szCs w:val="28"/>
              </w:rPr>
              <w:t>3.6</w:t>
            </w:r>
            <w:r w:rsidRPr="003A1FE1">
              <w:rPr>
                <w:rFonts w:ascii="Times New Roman"/>
                <w:kern w:val="0"/>
                <w:sz w:val="28"/>
                <w:szCs w:val="28"/>
              </w:rPr>
              <w:t>％</w:t>
            </w:r>
          </w:p>
        </w:tc>
      </w:tr>
    </w:tbl>
    <w:p w:rsidR="00121031" w:rsidRPr="003A1FE1" w:rsidRDefault="00121031" w:rsidP="00DB0327">
      <w:pPr>
        <w:tabs>
          <w:tab w:val="left" w:pos="0"/>
        </w:tabs>
        <w:snapToGrid w:val="0"/>
        <w:spacing w:afterLines="50"/>
        <w:ind w:left="1301" w:hangingChars="500" w:hanging="1301"/>
        <w:jc w:val="left"/>
        <w:rPr>
          <w:rFonts w:ascii="Times New Roman"/>
          <w:sz w:val="24"/>
          <w:szCs w:val="24"/>
        </w:rPr>
      </w:pPr>
      <w:r w:rsidRPr="003A1FE1">
        <w:rPr>
          <w:rFonts w:ascii="Times New Roman"/>
          <w:sz w:val="24"/>
          <w:szCs w:val="24"/>
        </w:rPr>
        <w:t>資料來源：原民會，</w:t>
      </w:r>
      <w:r w:rsidRPr="003A1FE1">
        <w:rPr>
          <w:rFonts w:ascii="Times New Roman"/>
          <w:sz w:val="24"/>
          <w:szCs w:val="24"/>
        </w:rPr>
        <w:t>104</w:t>
      </w:r>
      <w:r w:rsidRPr="003A1FE1">
        <w:rPr>
          <w:rFonts w:ascii="Times New Roman"/>
          <w:sz w:val="24"/>
          <w:szCs w:val="24"/>
        </w:rPr>
        <w:t>年</w:t>
      </w:r>
      <w:r w:rsidRPr="003A1FE1">
        <w:rPr>
          <w:rFonts w:ascii="Times New Roman"/>
          <w:sz w:val="24"/>
          <w:szCs w:val="24"/>
        </w:rPr>
        <w:t>8</w:t>
      </w:r>
      <w:r w:rsidRPr="003A1FE1">
        <w:rPr>
          <w:rFonts w:ascii="Times New Roman"/>
          <w:sz w:val="24"/>
          <w:szCs w:val="24"/>
        </w:rPr>
        <w:t>月，《「原住民保留地土地政策調查研究</w:t>
      </w:r>
      <w:r w:rsidRPr="003A1FE1">
        <w:rPr>
          <w:rFonts w:ascii="Times New Roman"/>
          <w:sz w:val="24"/>
          <w:szCs w:val="24"/>
        </w:rPr>
        <w:t>-</w:t>
      </w:r>
      <w:r w:rsidRPr="003A1FE1">
        <w:rPr>
          <w:rFonts w:ascii="Times New Roman"/>
          <w:sz w:val="24"/>
          <w:szCs w:val="24"/>
        </w:rPr>
        <w:t>非原住民使用總登記為原住民保留地問題研析」期末報告》，第</w:t>
      </w:r>
      <w:r w:rsidRPr="003A1FE1">
        <w:rPr>
          <w:rFonts w:ascii="Times New Roman"/>
          <w:sz w:val="24"/>
          <w:szCs w:val="24"/>
        </w:rPr>
        <w:t>41-52</w:t>
      </w:r>
      <w:r w:rsidRPr="003A1FE1">
        <w:rPr>
          <w:rFonts w:ascii="Times New Roman"/>
          <w:sz w:val="24"/>
          <w:szCs w:val="24"/>
        </w:rPr>
        <w:t>頁。</w:t>
      </w:r>
    </w:p>
    <w:p w:rsidR="00121031" w:rsidRPr="003A1FE1" w:rsidRDefault="00121031" w:rsidP="00121031">
      <w:pPr>
        <w:pStyle w:val="3"/>
        <w:numPr>
          <w:ilvl w:val="2"/>
          <w:numId w:val="1"/>
        </w:numPr>
        <w:kinsoku w:val="0"/>
        <w:overflowPunct/>
        <w:autoSpaceDE/>
        <w:autoSpaceDN/>
        <w:ind w:left="1360" w:hanging="680"/>
        <w:rPr>
          <w:rFonts w:ascii="Times New Roman" w:hAnsi="Times New Roman"/>
        </w:rPr>
      </w:pPr>
      <w:r w:rsidRPr="003A1FE1">
        <w:rPr>
          <w:rFonts w:ascii="Times New Roman" w:hAnsi="Times New Roman"/>
        </w:rPr>
        <w:t>本案依照上述研究報告之假設，請原民會分別就我國原住民取得保留地地上權、所有權登記後，設定抵押權，而擔保債權總金額大於共同擔保土地公告現值總和</w:t>
      </w:r>
      <w:r w:rsidRPr="003A1FE1">
        <w:rPr>
          <w:rFonts w:ascii="Times New Roman" w:hAnsi="Times New Roman"/>
        </w:rPr>
        <w:t>1</w:t>
      </w:r>
      <w:r w:rsidRPr="003A1FE1">
        <w:rPr>
          <w:rFonts w:ascii="Times New Roman" w:hAnsi="Times New Roman"/>
        </w:rPr>
        <w:t>倍、</w:t>
      </w:r>
      <w:r w:rsidRPr="003A1FE1">
        <w:rPr>
          <w:rFonts w:ascii="Times New Roman" w:hAnsi="Times New Roman"/>
        </w:rPr>
        <w:t>2</w:t>
      </w:r>
      <w:r w:rsidRPr="003A1FE1">
        <w:rPr>
          <w:rFonts w:ascii="Times New Roman" w:hAnsi="Times New Roman"/>
        </w:rPr>
        <w:t>倍以上者，進行統計</w:t>
      </w:r>
      <w:r w:rsidRPr="003A1FE1">
        <w:rPr>
          <w:rFonts w:ascii="Times New Roman" w:hAnsi="Times New Roman"/>
          <w:vertAlign w:val="superscript"/>
        </w:rPr>
        <w:footnoteReference w:id="9"/>
      </w:r>
      <w:r w:rsidRPr="003A1FE1">
        <w:rPr>
          <w:rFonts w:ascii="Times New Roman" w:hAnsi="Times New Roman"/>
        </w:rPr>
        <w:t>。計算結果，至</w:t>
      </w:r>
      <w:r w:rsidRPr="003A1FE1">
        <w:rPr>
          <w:rFonts w:ascii="Times New Roman" w:hAnsi="Times New Roman"/>
        </w:rPr>
        <w:t>105</w:t>
      </w:r>
      <w:r w:rsidRPr="003A1FE1">
        <w:rPr>
          <w:rFonts w:ascii="Times New Roman" w:hAnsi="Times New Roman"/>
        </w:rPr>
        <w:t>年</w:t>
      </w:r>
      <w:r w:rsidRPr="003A1FE1">
        <w:rPr>
          <w:rFonts w:ascii="Times New Roman" w:hAnsi="Times New Roman"/>
        </w:rPr>
        <w:t>4</w:t>
      </w:r>
      <w:r w:rsidRPr="003A1FE1">
        <w:rPr>
          <w:rFonts w:ascii="Times New Roman" w:hAnsi="Times New Roman"/>
        </w:rPr>
        <w:t>月</w:t>
      </w:r>
      <w:r w:rsidRPr="003A1FE1">
        <w:rPr>
          <w:rFonts w:ascii="Times New Roman" w:hAnsi="Times New Roman"/>
        </w:rPr>
        <w:t>26</w:t>
      </w:r>
      <w:r w:rsidRPr="003A1FE1">
        <w:rPr>
          <w:rFonts w:ascii="Times New Roman" w:hAnsi="Times New Roman"/>
        </w:rPr>
        <w:t>日止，取得地上權後設定抵押權</w:t>
      </w:r>
      <w:r w:rsidRPr="003A1FE1">
        <w:rPr>
          <w:rFonts w:ascii="Times New Roman" w:hAnsi="Times New Roman"/>
        </w:rPr>
        <w:lastRenderedPageBreak/>
        <w:t>金額大於土地公告現值總和</w:t>
      </w:r>
      <w:r w:rsidRPr="003A1FE1">
        <w:rPr>
          <w:rFonts w:ascii="Times New Roman" w:hAnsi="Times New Roman"/>
        </w:rPr>
        <w:t>1</w:t>
      </w:r>
      <w:r w:rsidRPr="003A1FE1">
        <w:rPr>
          <w:rFonts w:ascii="Times New Roman" w:hAnsi="Times New Roman"/>
        </w:rPr>
        <w:t>倍以上者，人數</w:t>
      </w:r>
      <w:r w:rsidRPr="003A1FE1">
        <w:rPr>
          <w:rFonts w:ascii="Times New Roman" w:hAnsi="Times New Roman"/>
        </w:rPr>
        <w:t>60</w:t>
      </w:r>
      <w:r w:rsidRPr="003A1FE1">
        <w:rPr>
          <w:rFonts w:ascii="Times New Roman" w:hAnsi="Times New Roman"/>
        </w:rPr>
        <w:t>人，土地</w:t>
      </w:r>
      <w:r w:rsidRPr="003A1FE1">
        <w:rPr>
          <w:rFonts w:ascii="Times New Roman" w:hAnsi="Times New Roman"/>
        </w:rPr>
        <w:t>108</w:t>
      </w:r>
      <w:r w:rsidRPr="003A1FE1">
        <w:rPr>
          <w:rFonts w:ascii="Times New Roman" w:hAnsi="Times New Roman"/>
        </w:rPr>
        <w:t>筆，面積</w:t>
      </w:r>
      <w:r w:rsidRPr="003A1FE1">
        <w:rPr>
          <w:rFonts w:ascii="Times New Roman" w:hAnsi="Times New Roman"/>
        </w:rPr>
        <w:t>28.33</w:t>
      </w:r>
      <w:r w:rsidRPr="003A1FE1">
        <w:rPr>
          <w:rFonts w:ascii="Times New Roman" w:hAnsi="Times New Roman"/>
        </w:rPr>
        <w:t>公頃，分別占總人數、總比數、總面積之</w:t>
      </w:r>
      <w:r w:rsidRPr="003A1FE1">
        <w:rPr>
          <w:rFonts w:ascii="Times New Roman" w:hAnsi="Times New Roman"/>
        </w:rPr>
        <w:t>0.27</w:t>
      </w:r>
      <w:r w:rsidRPr="003A1FE1">
        <w:rPr>
          <w:rFonts w:ascii="Times New Roman" w:hAnsi="Times New Roman"/>
        </w:rPr>
        <w:t>％、</w:t>
      </w:r>
      <w:r w:rsidRPr="003A1FE1">
        <w:rPr>
          <w:rFonts w:ascii="Times New Roman" w:hAnsi="Times New Roman"/>
        </w:rPr>
        <w:t>0.36</w:t>
      </w:r>
      <w:r w:rsidRPr="003A1FE1">
        <w:rPr>
          <w:rFonts w:ascii="Times New Roman" w:hAnsi="Times New Roman"/>
        </w:rPr>
        <w:t>％、</w:t>
      </w:r>
      <w:r w:rsidRPr="003A1FE1">
        <w:rPr>
          <w:rFonts w:ascii="Times New Roman" w:hAnsi="Times New Roman"/>
        </w:rPr>
        <w:t>0.16</w:t>
      </w:r>
      <w:r w:rsidRPr="003A1FE1">
        <w:rPr>
          <w:rFonts w:ascii="Times New Roman" w:hAnsi="Times New Roman"/>
        </w:rPr>
        <w:t>％；而設定抵押權金額大於土地公告現值總和</w:t>
      </w:r>
      <w:r w:rsidRPr="003A1FE1">
        <w:rPr>
          <w:rFonts w:ascii="Times New Roman" w:hAnsi="Times New Roman"/>
        </w:rPr>
        <w:t>2</w:t>
      </w:r>
      <w:r w:rsidRPr="003A1FE1">
        <w:rPr>
          <w:rFonts w:ascii="Times New Roman" w:hAnsi="Times New Roman"/>
        </w:rPr>
        <w:t>倍以上者，人數</w:t>
      </w:r>
      <w:r w:rsidRPr="003A1FE1">
        <w:rPr>
          <w:rFonts w:ascii="Times New Roman" w:hAnsi="Times New Roman"/>
        </w:rPr>
        <w:t>54</w:t>
      </w:r>
      <w:r w:rsidRPr="003A1FE1">
        <w:rPr>
          <w:rFonts w:ascii="Times New Roman" w:hAnsi="Times New Roman"/>
        </w:rPr>
        <w:t>人，土地</w:t>
      </w:r>
      <w:r w:rsidRPr="003A1FE1">
        <w:rPr>
          <w:rFonts w:ascii="Times New Roman" w:hAnsi="Times New Roman"/>
        </w:rPr>
        <w:t>98</w:t>
      </w:r>
      <w:r w:rsidRPr="003A1FE1">
        <w:rPr>
          <w:rFonts w:ascii="Times New Roman" w:hAnsi="Times New Roman"/>
        </w:rPr>
        <w:t>筆，面積</w:t>
      </w:r>
      <w:r w:rsidRPr="003A1FE1">
        <w:rPr>
          <w:rFonts w:ascii="Times New Roman" w:hAnsi="Times New Roman"/>
        </w:rPr>
        <w:t>24.61</w:t>
      </w:r>
      <w:r w:rsidRPr="003A1FE1">
        <w:rPr>
          <w:rFonts w:ascii="Times New Roman" w:hAnsi="Times New Roman"/>
        </w:rPr>
        <w:t>公頃，</w:t>
      </w:r>
      <w:r w:rsidRPr="003A1FE1">
        <w:rPr>
          <w:rFonts w:ascii="Times New Roman" w:hAnsi="Times New Roman"/>
        </w:rPr>
        <w:tab/>
      </w:r>
      <w:r w:rsidRPr="003A1FE1">
        <w:rPr>
          <w:rFonts w:ascii="Times New Roman" w:hAnsi="Times New Roman"/>
        </w:rPr>
        <w:t>分別占總人數、總比數、總面積之</w:t>
      </w:r>
      <w:r w:rsidRPr="003A1FE1">
        <w:rPr>
          <w:rFonts w:ascii="Times New Roman" w:hAnsi="Times New Roman"/>
        </w:rPr>
        <w:t>0.24</w:t>
      </w:r>
      <w:r w:rsidRPr="003A1FE1">
        <w:rPr>
          <w:rFonts w:ascii="Times New Roman" w:hAnsi="Times New Roman"/>
        </w:rPr>
        <w:t>％、</w:t>
      </w:r>
      <w:r w:rsidRPr="003A1FE1">
        <w:rPr>
          <w:rFonts w:ascii="Times New Roman" w:hAnsi="Times New Roman"/>
        </w:rPr>
        <w:t>0.32</w:t>
      </w:r>
      <w:r w:rsidRPr="003A1FE1">
        <w:rPr>
          <w:rFonts w:ascii="Times New Roman" w:hAnsi="Times New Roman"/>
        </w:rPr>
        <w:t>％、</w:t>
      </w:r>
      <w:r w:rsidRPr="003A1FE1">
        <w:rPr>
          <w:rFonts w:ascii="Times New Roman" w:hAnsi="Times New Roman"/>
        </w:rPr>
        <w:tab/>
        <w:t>0.14</w:t>
      </w:r>
      <w:r w:rsidRPr="003A1FE1">
        <w:rPr>
          <w:rFonts w:ascii="Times New Roman" w:hAnsi="Times New Roman"/>
        </w:rPr>
        <w:t>％（詳如表</w:t>
      </w:r>
      <w:r w:rsidRPr="003A1FE1">
        <w:rPr>
          <w:rFonts w:ascii="Times New Roman" w:hAnsi="Times New Roman"/>
        </w:rPr>
        <w:t>5</w:t>
      </w:r>
      <w:r w:rsidRPr="003A1FE1">
        <w:rPr>
          <w:rFonts w:ascii="Times New Roman" w:hAnsi="Times New Roman"/>
        </w:rPr>
        <w:t>）。取得所有權後設定抵押權金額大於土地公告現值總和</w:t>
      </w:r>
      <w:r w:rsidRPr="003A1FE1">
        <w:rPr>
          <w:rFonts w:ascii="Times New Roman" w:hAnsi="Times New Roman"/>
        </w:rPr>
        <w:t>1</w:t>
      </w:r>
      <w:r w:rsidRPr="003A1FE1">
        <w:rPr>
          <w:rFonts w:ascii="Times New Roman" w:hAnsi="Times New Roman"/>
        </w:rPr>
        <w:t>倍以上者，人數</w:t>
      </w:r>
      <w:r w:rsidRPr="003A1FE1">
        <w:rPr>
          <w:rFonts w:ascii="Times New Roman" w:hAnsi="Times New Roman"/>
        </w:rPr>
        <w:t>2,482</w:t>
      </w:r>
      <w:r w:rsidRPr="003A1FE1">
        <w:rPr>
          <w:rFonts w:ascii="Times New Roman" w:hAnsi="Times New Roman"/>
        </w:rPr>
        <w:t>人，土地</w:t>
      </w:r>
      <w:r w:rsidRPr="003A1FE1">
        <w:rPr>
          <w:rFonts w:ascii="Times New Roman" w:hAnsi="Times New Roman"/>
        </w:rPr>
        <w:t>6,098</w:t>
      </w:r>
      <w:r w:rsidRPr="003A1FE1">
        <w:rPr>
          <w:rFonts w:ascii="Times New Roman" w:hAnsi="Times New Roman"/>
        </w:rPr>
        <w:t>筆，面積</w:t>
      </w:r>
      <w:r w:rsidRPr="003A1FE1">
        <w:rPr>
          <w:rFonts w:ascii="Times New Roman" w:hAnsi="Times New Roman"/>
        </w:rPr>
        <w:t>1,731.822</w:t>
      </w:r>
      <w:r w:rsidRPr="003A1FE1">
        <w:rPr>
          <w:rFonts w:ascii="Times New Roman" w:hAnsi="Times New Roman"/>
        </w:rPr>
        <w:t>公頃，分別占總人數、總比數、總面積之</w:t>
      </w:r>
      <w:r w:rsidRPr="003A1FE1">
        <w:rPr>
          <w:rFonts w:ascii="Times New Roman" w:hAnsi="Times New Roman"/>
        </w:rPr>
        <w:t>2.25</w:t>
      </w:r>
      <w:r w:rsidRPr="003A1FE1">
        <w:rPr>
          <w:rFonts w:ascii="Times New Roman" w:hAnsi="Times New Roman"/>
        </w:rPr>
        <w:t>％、</w:t>
      </w:r>
      <w:r w:rsidRPr="003A1FE1">
        <w:rPr>
          <w:rFonts w:ascii="Times New Roman" w:hAnsi="Times New Roman"/>
        </w:rPr>
        <w:t>2.52</w:t>
      </w:r>
      <w:r w:rsidRPr="003A1FE1">
        <w:rPr>
          <w:rFonts w:ascii="Times New Roman" w:hAnsi="Times New Roman"/>
        </w:rPr>
        <w:t>％、</w:t>
      </w:r>
      <w:r w:rsidRPr="003A1FE1">
        <w:rPr>
          <w:rFonts w:ascii="Times New Roman" w:hAnsi="Times New Roman"/>
        </w:rPr>
        <w:t>1.47</w:t>
      </w:r>
      <w:r w:rsidRPr="003A1FE1">
        <w:rPr>
          <w:rFonts w:ascii="Times New Roman" w:hAnsi="Times New Roman"/>
        </w:rPr>
        <w:t>％；而設定抵押權金額大於土地公告現值總和</w:t>
      </w:r>
      <w:r w:rsidRPr="003A1FE1">
        <w:rPr>
          <w:rFonts w:ascii="Times New Roman" w:hAnsi="Times New Roman"/>
        </w:rPr>
        <w:t>2</w:t>
      </w:r>
      <w:r w:rsidRPr="003A1FE1">
        <w:rPr>
          <w:rFonts w:ascii="Times New Roman" w:hAnsi="Times New Roman"/>
        </w:rPr>
        <w:t>倍以上者，人數</w:t>
      </w:r>
      <w:r w:rsidRPr="003A1FE1">
        <w:rPr>
          <w:rFonts w:ascii="Times New Roman" w:hAnsi="Times New Roman"/>
        </w:rPr>
        <w:t>2,189</w:t>
      </w:r>
      <w:r w:rsidRPr="003A1FE1">
        <w:rPr>
          <w:rFonts w:ascii="Times New Roman" w:hAnsi="Times New Roman"/>
        </w:rPr>
        <w:t>人，土地</w:t>
      </w:r>
      <w:r w:rsidRPr="003A1FE1">
        <w:rPr>
          <w:rFonts w:ascii="Times New Roman" w:hAnsi="Times New Roman"/>
        </w:rPr>
        <w:t>5,514</w:t>
      </w:r>
      <w:r w:rsidRPr="003A1FE1">
        <w:rPr>
          <w:rFonts w:ascii="Times New Roman" w:hAnsi="Times New Roman"/>
        </w:rPr>
        <w:t>筆，面積</w:t>
      </w:r>
      <w:r w:rsidRPr="003A1FE1">
        <w:rPr>
          <w:rFonts w:ascii="Times New Roman" w:hAnsi="Times New Roman"/>
        </w:rPr>
        <w:t>1,395.773</w:t>
      </w:r>
      <w:r w:rsidRPr="003A1FE1">
        <w:rPr>
          <w:rFonts w:ascii="Times New Roman" w:hAnsi="Times New Roman"/>
        </w:rPr>
        <w:t>公頃</w:t>
      </w:r>
      <w:r w:rsidRPr="003A1FE1">
        <w:rPr>
          <w:rFonts w:ascii="Times New Roman" w:hAnsi="Times New Roman"/>
        </w:rPr>
        <w:tab/>
      </w:r>
      <w:r w:rsidRPr="003A1FE1">
        <w:rPr>
          <w:rFonts w:ascii="Times New Roman" w:hAnsi="Times New Roman"/>
        </w:rPr>
        <w:t>，分別占總人數、總比數、總面積之</w:t>
      </w:r>
      <w:r w:rsidRPr="003A1FE1">
        <w:rPr>
          <w:rFonts w:ascii="Times New Roman" w:hAnsi="Times New Roman"/>
        </w:rPr>
        <w:t>1.99</w:t>
      </w:r>
      <w:r w:rsidRPr="003A1FE1">
        <w:rPr>
          <w:rFonts w:ascii="Times New Roman" w:hAnsi="Times New Roman"/>
        </w:rPr>
        <w:t>％、</w:t>
      </w:r>
      <w:r w:rsidRPr="003A1FE1">
        <w:rPr>
          <w:rFonts w:ascii="Times New Roman" w:hAnsi="Times New Roman"/>
        </w:rPr>
        <w:t>2.28</w:t>
      </w:r>
      <w:r w:rsidRPr="003A1FE1">
        <w:rPr>
          <w:rFonts w:ascii="Times New Roman" w:hAnsi="Times New Roman"/>
        </w:rPr>
        <w:t>％、</w:t>
      </w:r>
      <w:r w:rsidRPr="003A1FE1">
        <w:rPr>
          <w:rFonts w:ascii="Times New Roman" w:hAnsi="Times New Roman"/>
        </w:rPr>
        <w:t>1.20</w:t>
      </w:r>
      <w:r w:rsidRPr="003A1FE1">
        <w:rPr>
          <w:rFonts w:ascii="Times New Roman" w:hAnsi="Times New Roman"/>
        </w:rPr>
        <w:t>％（詳如表</w:t>
      </w:r>
      <w:r w:rsidRPr="003A1FE1">
        <w:rPr>
          <w:rFonts w:ascii="Times New Roman" w:hAnsi="Times New Roman"/>
        </w:rPr>
        <w:t>6</w:t>
      </w:r>
      <w:r w:rsidRPr="003A1FE1">
        <w:rPr>
          <w:rFonts w:ascii="Times New Roman" w:hAnsi="Times New Roman"/>
        </w:rPr>
        <w:t>）。上述統計結果，顯示非原住民以設定高額抵押權之方式，居於類似保留地所有權人的地位，而實質握有使用、收益權利之可能性相當高，其占總人數、總比數、總面積之比例雖然不高，但已遠遠超過原民會提供之各縣市原住民保留地違法轉讓或出租之案件統計數，況該項統計資料，尚未包含原住民以「人頭」供非原住民使用，以取得所有權，或形式上簽</w:t>
      </w:r>
      <w:r w:rsidR="00FB0C09" w:rsidRPr="003A1FE1">
        <w:rPr>
          <w:rFonts w:ascii="Times New Roman" w:hAnsi="Times New Roman" w:hint="eastAsia"/>
        </w:rPr>
        <w:t>訂</w:t>
      </w:r>
      <w:r w:rsidRPr="003A1FE1">
        <w:rPr>
          <w:rFonts w:ascii="Times New Roman" w:hAnsi="Times New Roman"/>
        </w:rPr>
        <w:t>合夥經營等契約，實質上卻已被非原住民買斷的部分。</w:t>
      </w:r>
    </w:p>
    <w:p w:rsidR="00121031" w:rsidRPr="003A1FE1" w:rsidRDefault="00121031" w:rsidP="00121031">
      <w:pPr>
        <w:pStyle w:val="3"/>
        <w:numPr>
          <w:ilvl w:val="2"/>
          <w:numId w:val="1"/>
        </w:numPr>
        <w:kinsoku w:val="0"/>
        <w:overflowPunct/>
        <w:autoSpaceDE/>
        <w:autoSpaceDN/>
        <w:ind w:left="1360" w:hanging="680"/>
        <w:rPr>
          <w:rFonts w:ascii="Times New Roman" w:hAnsi="Times New Roman"/>
        </w:rPr>
      </w:pPr>
      <w:r w:rsidRPr="003A1FE1">
        <w:rPr>
          <w:rFonts w:ascii="Times New Roman" w:hAnsi="Times New Roman"/>
        </w:rPr>
        <w:t>綜上所述，依據原民會之說明與統計資料，原住民取得原住民保留地之相關權利後，</w:t>
      </w:r>
      <w:r w:rsidRPr="003A1FE1">
        <w:rPr>
          <w:rFonts w:ascii="Times New Roman" w:hAnsi="Times New Roman"/>
          <w:szCs w:val="32"/>
        </w:rPr>
        <w:t>違法轉讓、轉租之情形</w:t>
      </w:r>
      <w:r w:rsidRPr="003A1FE1">
        <w:rPr>
          <w:rFonts w:ascii="Times New Roman" w:hAnsi="Times New Roman"/>
        </w:rPr>
        <w:t>，確實存在。此一行為不僅嚴重悖離既有原住民保留地政策，違反現行法令，更衍生原住民保留地地權實質流失的危機，以及原住民與非原住民間對於原住民保留地的產權糾紛與衝突，中央與地方主管機關為落實原住民保留地政策與執行法令，自有責任提出對策並積極查處。惟多年來，各縣市</w:t>
      </w:r>
      <w:r w:rsidRPr="003A1FE1">
        <w:rPr>
          <w:rFonts w:ascii="Times New Roman" w:hAnsi="Times New Roman"/>
        </w:rPr>
        <w:lastRenderedPageBreak/>
        <w:t>政府僅以「人力不足」、「舉證困難」、「涉及私權範圍」等理由，未進行調查，甚或表示非屬其業務權責，而原民會僅以宣導方式處理，未能針對違法態樣，分別就法制或執行面，謀求改善，並督導各縣市政府積極處理，致使該違法情形長期存在且日益嚴重，核有未當。</w:t>
      </w:r>
    </w:p>
    <w:p w:rsidR="00121031" w:rsidRPr="003A1FE1" w:rsidRDefault="00121031" w:rsidP="00121031">
      <w:pPr>
        <w:pStyle w:val="3"/>
        <w:numPr>
          <w:ilvl w:val="0"/>
          <w:numId w:val="0"/>
        </w:numPr>
        <w:ind w:left="680"/>
        <w:rPr>
          <w:rFonts w:ascii="Times New Roman" w:hAnsi="Times New Roman"/>
        </w:rPr>
        <w:sectPr w:rsidR="00121031" w:rsidRPr="003A1FE1" w:rsidSect="00B25F84">
          <w:footerReference w:type="default" r:id="rId10"/>
          <w:pgSz w:w="11907" w:h="16840" w:code="9"/>
          <w:pgMar w:top="1701" w:right="1418" w:bottom="1418" w:left="1418" w:header="851" w:footer="851" w:gutter="227"/>
          <w:cols w:space="425"/>
          <w:docGrid w:type="linesAndChars" w:linePitch="457" w:charSpace="4127"/>
        </w:sectPr>
      </w:pPr>
    </w:p>
    <w:p w:rsidR="00121031" w:rsidRPr="003A1FE1" w:rsidRDefault="00121031" w:rsidP="00C80775">
      <w:pPr>
        <w:snapToGrid w:val="0"/>
        <w:jc w:val="center"/>
        <w:rPr>
          <w:rFonts w:ascii="Times New Roman"/>
          <w:szCs w:val="32"/>
        </w:rPr>
      </w:pPr>
      <w:r w:rsidRPr="003A1FE1">
        <w:rPr>
          <w:rFonts w:ascii="Times New Roman"/>
          <w:szCs w:val="32"/>
        </w:rPr>
        <w:lastRenderedPageBreak/>
        <w:t>表</w:t>
      </w:r>
      <w:r w:rsidRPr="003A1FE1">
        <w:rPr>
          <w:rFonts w:ascii="Times New Roman"/>
          <w:szCs w:val="32"/>
        </w:rPr>
        <w:t xml:space="preserve">5 </w:t>
      </w:r>
      <w:r w:rsidRPr="003A1FE1">
        <w:rPr>
          <w:rFonts w:ascii="Times New Roman"/>
          <w:szCs w:val="32"/>
        </w:rPr>
        <w:t>我國原住民保留地地上權人設定抵押權統計表</w:t>
      </w:r>
    </w:p>
    <w:p w:rsidR="00121031" w:rsidRPr="003A1FE1" w:rsidRDefault="00121031" w:rsidP="00C80775">
      <w:pPr>
        <w:snapToGrid w:val="0"/>
        <w:jc w:val="center"/>
        <w:rPr>
          <w:rFonts w:ascii="Times New Roman"/>
          <w:sz w:val="28"/>
          <w:szCs w:val="28"/>
        </w:rPr>
      </w:pPr>
      <w:r w:rsidRPr="003A1FE1">
        <w:rPr>
          <w:rFonts w:ascii="Times New Roman"/>
          <w:szCs w:val="32"/>
        </w:rPr>
        <w:t>(</w:t>
      </w:r>
      <w:r w:rsidRPr="003A1FE1">
        <w:rPr>
          <w:rFonts w:ascii="Times New Roman"/>
          <w:szCs w:val="32"/>
        </w:rPr>
        <w:t>至</w:t>
      </w:r>
      <w:r w:rsidRPr="003A1FE1">
        <w:rPr>
          <w:rFonts w:ascii="Times New Roman"/>
          <w:szCs w:val="32"/>
        </w:rPr>
        <w:t>105</w:t>
      </w:r>
      <w:r w:rsidRPr="003A1FE1">
        <w:rPr>
          <w:rFonts w:ascii="Times New Roman"/>
          <w:szCs w:val="32"/>
        </w:rPr>
        <w:t>年</w:t>
      </w:r>
      <w:r w:rsidRPr="003A1FE1">
        <w:rPr>
          <w:rFonts w:ascii="Times New Roman"/>
          <w:szCs w:val="32"/>
        </w:rPr>
        <w:t>4</w:t>
      </w:r>
      <w:r w:rsidRPr="003A1FE1">
        <w:rPr>
          <w:rFonts w:ascii="Times New Roman"/>
          <w:szCs w:val="32"/>
        </w:rPr>
        <w:t>月</w:t>
      </w:r>
      <w:r w:rsidRPr="003A1FE1">
        <w:rPr>
          <w:rFonts w:ascii="Times New Roman"/>
          <w:szCs w:val="32"/>
        </w:rPr>
        <w:t>26</w:t>
      </w:r>
      <w:r w:rsidRPr="003A1FE1">
        <w:rPr>
          <w:rFonts w:ascii="Times New Roman"/>
          <w:szCs w:val="32"/>
        </w:rPr>
        <w:t>日止</w:t>
      </w:r>
      <w:r w:rsidRPr="003A1FE1">
        <w:rPr>
          <w:rFonts w:ascii="Times New Roman"/>
          <w:szCs w:val="32"/>
        </w:rPr>
        <w:t>)</w:t>
      </w:r>
    </w:p>
    <w:p w:rsidR="00121031" w:rsidRPr="003A1FE1" w:rsidRDefault="00121031" w:rsidP="00121031">
      <w:pPr>
        <w:snapToGrid w:val="0"/>
        <w:jc w:val="right"/>
        <w:rPr>
          <w:rFonts w:ascii="Times New Roman"/>
          <w:szCs w:val="24"/>
        </w:rPr>
      </w:pPr>
      <w:r w:rsidRPr="003A1FE1">
        <w:rPr>
          <w:rFonts w:ascii="Times New Roman"/>
          <w:szCs w:val="24"/>
        </w:rPr>
        <w:t>單位：人；筆；公頃</w:t>
      </w:r>
    </w:p>
    <w:tbl>
      <w:tblPr>
        <w:tblW w:w="14581" w:type="dxa"/>
        <w:jc w:val="center"/>
        <w:tblCellMar>
          <w:left w:w="28" w:type="dxa"/>
          <w:right w:w="28" w:type="dxa"/>
        </w:tblCellMar>
        <w:tblLook w:val="04A0"/>
      </w:tblPr>
      <w:tblGrid>
        <w:gridCol w:w="348"/>
        <w:gridCol w:w="1050"/>
        <w:gridCol w:w="1098"/>
        <w:gridCol w:w="1099"/>
        <w:gridCol w:w="1098"/>
        <w:gridCol w:w="1099"/>
        <w:gridCol w:w="1098"/>
        <w:gridCol w:w="1099"/>
        <w:gridCol w:w="1099"/>
        <w:gridCol w:w="1098"/>
        <w:gridCol w:w="1099"/>
        <w:gridCol w:w="1098"/>
        <w:gridCol w:w="1099"/>
        <w:gridCol w:w="1099"/>
      </w:tblGrid>
      <w:tr w:rsidR="003A1FE1" w:rsidRPr="003A1FE1" w:rsidTr="00B25F84">
        <w:trPr>
          <w:trHeight w:val="625"/>
          <w:tblHeader/>
          <w:jc w:val="center"/>
        </w:trPr>
        <w:tc>
          <w:tcPr>
            <w:tcW w:w="1398" w:type="dxa"/>
            <w:gridSpan w:val="2"/>
            <w:vMerge w:val="restart"/>
            <w:tcBorders>
              <w:top w:val="single" w:sz="4" w:space="0" w:color="111111"/>
              <w:left w:val="single" w:sz="4" w:space="0" w:color="111111"/>
              <w:bottom w:val="single" w:sz="4" w:space="0" w:color="111111"/>
              <w:right w:val="single" w:sz="4" w:space="0" w:color="111111"/>
              <w:tl2br w:val="single" w:sz="4" w:space="0" w:color="111111"/>
            </w:tcBorders>
            <w:shd w:val="clear" w:color="000000" w:fill="auto"/>
            <w:vAlign w:val="center"/>
            <w:hideMark/>
          </w:tcPr>
          <w:p w:rsidR="00121031" w:rsidRPr="003A1FE1" w:rsidRDefault="00121031" w:rsidP="00B25F84">
            <w:pPr>
              <w:widowControl/>
              <w:wordWrap w:val="0"/>
              <w:jc w:val="right"/>
              <w:rPr>
                <w:rFonts w:ascii="Times New Roman"/>
                <w:kern w:val="0"/>
                <w:sz w:val="24"/>
                <w:szCs w:val="24"/>
              </w:rPr>
            </w:pPr>
            <w:r w:rsidRPr="003A1FE1">
              <w:rPr>
                <w:rFonts w:ascii="Times New Roman"/>
                <w:kern w:val="0"/>
                <w:sz w:val="24"/>
                <w:szCs w:val="24"/>
              </w:rPr>
              <w:t>項目</w:t>
            </w:r>
            <w:r w:rsidRPr="003A1FE1">
              <w:rPr>
                <w:rFonts w:ascii="Times New Roman"/>
                <w:kern w:val="0"/>
                <w:sz w:val="24"/>
                <w:szCs w:val="24"/>
              </w:rPr>
              <w:t xml:space="preserve"> </w:t>
            </w:r>
          </w:p>
          <w:p w:rsidR="00121031" w:rsidRPr="003A1FE1" w:rsidRDefault="00121031" w:rsidP="00B25F84">
            <w:pPr>
              <w:jc w:val="left"/>
              <w:rPr>
                <w:rFonts w:ascii="Times New Roman"/>
                <w:kern w:val="0"/>
                <w:sz w:val="24"/>
                <w:szCs w:val="24"/>
              </w:rPr>
            </w:pPr>
            <w:r w:rsidRPr="003A1FE1">
              <w:rPr>
                <w:rFonts w:ascii="Times New Roman"/>
                <w:kern w:val="0"/>
                <w:sz w:val="24"/>
                <w:szCs w:val="24"/>
              </w:rPr>
              <w:t xml:space="preserve"> </w:t>
            </w:r>
            <w:r w:rsidRPr="003A1FE1">
              <w:rPr>
                <w:rFonts w:ascii="Times New Roman"/>
                <w:kern w:val="0"/>
                <w:sz w:val="24"/>
                <w:szCs w:val="24"/>
              </w:rPr>
              <w:t>縣市</w:t>
            </w:r>
          </w:p>
        </w:tc>
        <w:tc>
          <w:tcPr>
            <w:tcW w:w="6591" w:type="dxa"/>
            <w:gridSpan w:val="6"/>
            <w:tcBorders>
              <w:top w:val="single" w:sz="4" w:space="0" w:color="111111"/>
              <w:left w:val="single" w:sz="4" w:space="0" w:color="111111"/>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擔保債權總金額</w:t>
            </w:r>
            <w:r w:rsidRPr="003A1FE1">
              <w:rPr>
                <w:rFonts w:ascii="Times New Roman"/>
                <w:kern w:val="0"/>
                <w:sz w:val="24"/>
                <w:szCs w:val="24"/>
              </w:rPr>
              <w:t>&gt;</w:t>
            </w:r>
            <w:r w:rsidRPr="003A1FE1">
              <w:rPr>
                <w:rFonts w:ascii="Times New Roman"/>
                <w:kern w:val="0"/>
                <w:sz w:val="24"/>
                <w:szCs w:val="24"/>
              </w:rPr>
              <w:t>共同擔保土地公告現值總和</w:t>
            </w:r>
            <w:r w:rsidRPr="003A1FE1">
              <w:rPr>
                <w:rFonts w:ascii="Times New Roman"/>
                <w:kern w:val="0"/>
                <w:sz w:val="24"/>
                <w:szCs w:val="24"/>
              </w:rPr>
              <w:t>1</w:t>
            </w:r>
            <w:r w:rsidRPr="003A1FE1">
              <w:rPr>
                <w:rFonts w:ascii="Times New Roman"/>
                <w:kern w:val="0"/>
                <w:sz w:val="24"/>
                <w:szCs w:val="24"/>
              </w:rPr>
              <w:t>倍</w:t>
            </w:r>
          </w:p>
        </w:tc>
        <w:tc>
          <w:tcPr>
            <w:tcW w:w="6592" w:type="dxa"/>
            <w:gridSpan w:val="6"/>
            <w:tcBorders>
              <w:top w:val="single" w:sz="4" w:space="0" w:color="111111"/>
              <w:left w:val="single" w:sz="4" w:space="0" w:color="111111"/>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擔保債權總金額</w:t>
            </w:r>
            <w:r w:rsidRPr="003A1FE1">
              <w:rPr>
                <w:rFonts w:ascii="Times New Roman"/>
                <w:kern w:val="0"/>
                <w:sz w:val="24"/>
                <w:szCs w:val="24"/>
              </w:rPr>
              <w:t>&gt;</w:t>
            </w:r>
            <w:r w:rsidRPr="003A1FE1">
              <w:rPr>
                <w:rFonts w:ascii="Times New Roman"/>
                <w:kern w:val="0"/>
                <w:sz w:val="24"/>
                <w:szCs w:val="24"/>
              </w:rPr>
              <w:t>共同擔保土地公告現值總和</w:t>
            </w:r>
            <w:r w:rsidRPr="003A1FE1">
              <w:rPr>
                <w:rFonts w:ascii="Times New Roman"/>
                <w:kern w:val="0"/>
                <w:sz w:val="24"/>
                <w:szCs w:val="24"/>
              </w:rPr>
              <w:t>2</w:t>
            </w:r>
            <w:r w:rsidRPr="003A1FE1">
              <w:rPr>
                <w:rFonts w:ascii="Times New Roman"/>
                <w:kern w:val="0"/>
                <w:sz w:val="24"/>
                <w:szCs w:val="24"/>
              </w:rPr>
              <w:t>倍以上</w:t>
            </w:r>
          </w:p>
        </w:tc>
      </w:tr>
      <w:tr w:rsidR="003A1FE1" w:rsidRPr="003A1FE1" w:rsidTr="00B25F84">
        <w:trPr>
          <w:trHeight w:val="330"/>
          <w:tblHeader/>
          <w:jc w:val="center"/>
        </w:trPr>
        <w:tc>
          <w:tcPr>
            <w:tcW w:w="1398" w:type="dxa"/>
            <w:gridSpan w:val="2"/>
            <w:vMerge/>
            <w:tcBorders>
              <w:left w:val="single" w:sz="4" w:space="0" w:color="111111"/>
              <w:bottom w:val="single" w:sz="4" w:space="0" w:color="111111"/>
              <w:right w:val="single" w:sz="4" w:space="0" w:color="111111"/>
              <w:tl2br w:val="single" w:sz="4" w:space="0" w:color="111111"/>
            </w:tcBorders>
            <w:shd w:val="clear" w:color="000000" w:fill="006699"/>
            <w:vAlign w:val="center"/>
            <w:hideMark/>
          </w:tcPr>
          <w:p w:rsidR="00121031" w:rsidRPr="003A1FE1" w:rsidRDefault="00121031" w:rsidP="00B25F84">
            <w:pPr>
              <w:widowControl/>
              <w:rPr>
                <w:rFonts w:ascii="Times New Roman"/>
                <w:kern w:val="0"/>
                <w:sz w:val="24"/>
                <w:szCs w:val="24"/>
              </w:rPr>
            </w:pP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人數</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筆數</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面積</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人數</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筆數</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面積</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w:t>
            </w:r>
          </w:p>
        </w:tc>
      </w:tr>
      <w:tr w:rsidR="003A1FE1" w:rsidRPr="003A1FE1" w:rsidTr="00B25F84">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基隆市</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中正區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r>
      <w:tr w:rsidR="003A1FE1" w:rsidRPr="003A1FE1" w:rsidTr="00B25F84">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新北市</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土城區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烏來區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14</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2.56</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1.41</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1.268</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0.33</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14</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2.56</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1.41</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1.268</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0.33</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14</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2.56</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1.41</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1.268</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0.33</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14</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2.56</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1.41</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1.268</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0.33</w:t>
            </w:r>
          </w:p>
        </w:tc>
      </w:tr>
      <w:tr w:rsidR="003A1FE1" w:rsidRPr="003A1FE1" w:rsidTr="00B25F84">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宜蘭縣</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三星鄉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大同鄉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南澳鄉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員山鄉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r>
      <w:tr w:rsidR="003A1FE1" w:rsidRPr="003A1FE1" w:rsidTr="00B25F84">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桃園市</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八德區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大溪區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復興區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27</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1.52</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57</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1.59</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16.585</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1.06</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23</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1.29</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51</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1.42</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15.31</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0.98</w:t>
            </w:r>
          </w:p>
        </w:tc>
      </w:tr>
      <w:tr w:rsidR="003A1FE1" w:rsidRPr="003A1FE1" w:rsidTr="00B25F84">
        <w:trPr>
          <w:trHeight w:val="375"/>
          <w:jc w:val="center"/>
        </w:trPr>
        <w:tc>
          <w:tcPr>
            <w:tcW w:w="348" w:type="dxa"/>
            <w:vMerge/>
            <w:tcBorders>
              <w:top w:val="nil"/>
              <w:left w:val="single" w:sz="4" w:space="0" w:color="111111"/>
              <w:bottom w:val="single" w:sz="4" w:space="0" w:color="auto"/>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27</w:t>
            </w:r>
          </w:p>
        </w:tc>
        <w:tc>
          <w:tcPr>
            <w:tcW w:w="1099"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1.51</w:t>
            </w:r>
          </w:p>
        </w:tc>
        <w:tc>
          <w:tcPr>
            <w:tcW w:w="1098"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57</w:t>
            </w:r>
          </w:p>
        </w:tc>
        <w:tc>
          <w:tcPr>
            <w:tcW w:w="1099"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1.59</w:t>
            </w:r>
          </w:p>
        </w:tc>
        <w:tc>
          <w:tcPr>
            <w:tcW w:w="1098"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16.585</w:t>
            </w:r>
          </w:p>
        </w:tc>
        <w:tc>
          <w:tcPr>
            <w:tcW w:w="1099"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1.06</w:t>
            </w:r>
          </w:p>
        </w:tc>
        <w:tc>
          <w:tcPr>
            <w:tcW w:w="1099"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23</w:t>
            </w:r>
          </w:p>
        </w:tc>
        <w:tc>
          <w:tcPr>
            <w:tcW w:w="1098"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1.29</w:t>
            </w:r>
          </w:p>
        </w:tc>
        <w:tc>
          <w:tcPr>
            <w:tcW w:w="1099"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51</w:t>
            </w:r>
          </w:p>
        </w:tc>
        <w:tc>
          <w:tcPr>
            <w:tcW w:w="1098"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1.42</w:t>
            </w:r>
          </w:p>
        </w:tc>
        <w:tc>
          <w:tcPr>
            <w:tcW w:w="1099"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15.31</w:t>
            </w:r>
          </w:p>
        </w:tc>
        <w:tc>
          <w:tcPr>
            <w:tcW w:w="1099" w:type="dxa"/>
            <w:tcBorders>
              <w:top w:val="single" w:sz="4" w:space="0" w:color="111111"/>
              <w:left w:val="nil"/>
              <w:bottom w:val="single" w:sz="4" w:space="0" w:color="auto"/>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0.98</w:t>
            </w:r>
          </w:p>
        </w:tc>
      </w:tr>
      <w:tr w:rsidR="003A1FE1" w:rsidRPr="003A1FE1" w:rsidTr="00B25F84">
        <w:trPr>
          <w:trHeight w:val="375"/>
          <w:jc w:val="center"/>
        </w:trPr>
        <w:tc>
          <w:tcPr>
            <w:tcW w:w="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新竹</w:t>
            </w:r>
            <w:r w:rsidRPr="003A1FE1">
              <w:rPr>
                <w:rFonts w:ascii="Times New Roman"/>
                <w:kern w:val="0"/>
                <w:sz w:val="24"/>
                <w:szCs w:val="24"/>
              </w:rPr>
              <w:lastRenderedPageBreak/>
              <w:t>縣</w:t>
            </w: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lastRenderedPageBreak/>
              <w:t>五峰鄉</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single" w:sz="4" w:space="0" w:color="auto"/>
              <w:left w:val="single" w:sz="4" w:space="0" w:color="auto"/>
              <w:bottom w:val="single" w:sz="4" w:space="0" w:color="auto"/>
              <w:right w:val="single" w:sz="4" w:space="0" w:color="auto"/>
            </w:tcBorders>
            <w:vAlign w:val="center"/>
            <w:hideMark/>
          </w:tcPr>
          <w:p w:rsidR="00121031" w:rsidRPr="003A1FE1" w:rsidRDefault="00121031" w:rsidP="00B25F84">
            <w:pPr>
              <w:widowControl/>
              <w:rPr>
                <w:rFonts w:ascii="Times New Roman"/>
                <w:kern w:val="0"/>
                <w:sz w:val="24"/>
                <w:szCs w:val="24"/>
              </w:rPr>
            </w:pPr>
          </w:p>
        </w:tc>
        <w:tc>
          <w:tcPr>
            <w:tcW w:w="10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尖石鄉</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0.79</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1.12</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7.905</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0.57</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20</w:t>
            </w:r>
          </w:p>
        </w:tc>
        <w:tc>
          <w:tcPr>
            <w:tcW w:w="10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6.202</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0.44</w:t>
            </w:r>
          </w:p>
        </w:tc>
      </w:tr>
      <w:tr w:rsidR="003A1FE1" w:rsidRPr="003A1FE1" w:rsidTr="00B25F84">
        <w:trPr>
          <w:trHeight w:val="375"/>
          <w:jc w:val="center"/>
        </w:trPr>
        <w:tc>
          <w:tcPr>
            <w:tcW w:w="348" w:type="dxa"/>
            <w:vMerge/>
            <w:tcBorders>
              <w:top w:val="single" w:sz="4" w:space="0" w:color="auto"/>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橫山鄉</w:t>
            </w:r>
          </w:p>
        </w:tc>
        <w:tc>
          <w:tcPr>
            <w:tcW w:w="1098"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single" w:sz="4" w:space="0" w:color="auto"/>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關西鎮</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0.63</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22</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0.89</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7.905</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0.48</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0.58</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0.81</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6.202</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0.38</w:t>
            </w:r>
          </w:p>
        </w:tc>
      </w:tr>
      <w:tr w:rsidR="003A1FE1" w:rsidRPr="003A1FE1" w:rsidTr="00B25F84">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苗栗縣</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南庄鄉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泰安鄉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獅潭鄉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r>
      <w:tr w:rsidR="003A1FE1" w:rsidRPr="003A1FE1" w:rsidTr="00B25F84">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臺中市</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和平區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新社區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r>
      <w:tr w:rsidR="003A1FE1" w:rsidRPr="003A1FE1" w:rsidTr="00B25F84">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南投縣</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仁愛鄉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0.11</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0.13</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0.78</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0.05</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0.05</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0.09</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0.528</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0.03</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水里鄉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信義鄉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魚池鄉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0.06</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0.08</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0.78</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0.03</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0.03</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0.05</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0.528</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0.02</w:t>
            </w:r>
          </w:p>
        </w:tc>
      </w:tr>
      <w:tr w:rsidR="003A1FE1" w:rsidRPr="003A1FE1" w:rsidTr="00B25F84">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嘉義縣</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阿里山鄉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0.45</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0.62</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0.969</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0.15</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0.45</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0.41</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0.479</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0.07</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0.45</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0.62</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0.969</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0.15</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0.45</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0.41</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0.479</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0.07</w:t>
            </w:r>
          </w:p>
        </w:tc>
      </w:tr>
      <w:tr w:rsidR="003A1FE1" w:rsidRPr="003A1FE1" w:rsidTr="00B25F84">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高雄市</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六龜區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那瑪夏區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茂林區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桃源區</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single" w:sz="4" w:space="0" w:color="111111"/>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r>
      <w:tr w:rsidR="003A1FE1" w:rsidRPr="003A1FE1" w:rsidTr="00B25F84">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屏東縣</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三地門鄉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內埔鄉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牡丹鄉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車城鄉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來義鄉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枋寮鄉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長治鄉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春日鄉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泰武鄉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新埤鄉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獅子鄉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萬巒鄉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滿州鄉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瑪家鄉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霧台鄉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鹽埔鄉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single" w:sz="4" w:space="0" w:color="111111"/>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r>
      <w:tr w:rsidR="003A1FE1" w:rsidRPr="003A1FE1" w:rsidTr="00B25F84">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臺東縣</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大武鄉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太麻里鄉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0.48</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0.43</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0.814</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0.48</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0.48</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0.43</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0.814</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0.48</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台東市</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成功鎮</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池上鄉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卑南鄉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延平鄉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東河鄉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金峰鄉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長濱鄉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海端鄉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鹿野鄉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達仁鄉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關山鎮</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蘭嶼鄉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0.28</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0.009</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0.13</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0.28</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0.009</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0.13</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0.08</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0.07</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0.823</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0.04</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0.08</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0.07</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0.823</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0.04</w:t>
            </w:r>
          </w:p>
        </w:tc>
      </w:tr>
      <w:tr w:rsidR="003A1FE1" w:rsidRPr="003A1FE1" w:rsidTr="00B25F84">
        <w:trPr>
          <w:trHeight w:val="375"/>
          <w:jc w:val="center"/>
        </w:trPr>
        <w:tc>
          <w:tcPr>
            <w:tcW w:w="348"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花蓮</w:t>
            </w:r>
            <w:r w:rsidRPr="003A1FE1">
              <w:rPr>
                <w:rFonts w:ascii="Times New Roman"/>
                <w:kern w:val="0"/>
                <w:sz w:val="24"/>
                <w:szCs w:val="24"/>
              </w:rPr>
              <w:lastRenderedPageBreak/>
              <w:t>縣</w:t>
            </w: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lastRenderedPageBreak/>
              <w:t>玉里鎮</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光復鄉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吉安鄉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秀林鄉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卓溪鄉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花蓮市</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富里鄉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新城鄉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瑞穗鄉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萬榮鄉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壽豐鄉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鳳林鎮</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豐濱鄉</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9"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348"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jc w:val="right"/>
              <w:rPr>
                <w:rFonts w:ascii="Times New Roman"/>
                <w:kern w:val="0"/>
                <w:sz w:val="24"/>
                <w:szCs w:val="24"/>
              </w:rPr>
            </w:pPr>
          </w:p>
        </w:tc>
        <w:tc>
          <w:tcPr>
            <w:tcW w:w="1050"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9"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r>
      <w:tr w:rsidR="003A1FE1" w:rsidRPr="003A1FE1" w:rsidTr="00B25F84">
        <w:trPr>
          <w:trHeight w:val="525"/>
          <w:jc w:val="center"/>
        </w:trPr>
        <w:tc>
          <w:tcPr>
            <w:tcW w:w="1398" w:type="dxa"/>
            <w:gridSpan w:val="2"/>
            <w:tcBorders>
              <w:top w:val="single" w:sz="4" w:space="0" w:color="111111"/>
              <w:left w:val="single" w:sz="4" w:space="0" w:color="111111"/>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總計</w:t>
            </w:r>
          </w:p>
        </w:tc>
        <w:tc>
          <w:tcPr>
            <w:tcW w:w="1098"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60</w:t>
            </w:r>
          </w:p>
        </w:tc>
        <w:tc>
          <w:tcPr>
            <w:tcW w:w="1099"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0.27</w:t>
            </w:r>
          </w:p>
        </w:tc>
        <w:tc>
          <w:tcPr>
            <w:tcW w:w="1098"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108</w:t>
            </w:r>
          </w:p>
        </w:tc>
        <w:tc>
          <w:tcPr>
            <w:tcW w:w="1099"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0.36</w:t>
            </w:r>
          </w:p>
        </w:tc>
        <w:tc>
          <w:tcPr>
            <w:tcW w:w="1098"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28.33</w:t>
            </w:r>
          </w:p>
        </w:tc>
        <w:tc>
          <w:tcPr>
            <w:tcW w:w="1099"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0.16</w:t>
            </w:r>
          </w:p>
        </w:tc>
        <w:tc>
          <w:tcPr>
            <w:tcW w:w="1099"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54</w:t>
            </w:r>
          </w:p>
        </w:tc>
        <w:tc>
          <w:tcPr>
            <w:tcW w:w="1098"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0.24</w:t>
            </w:r>
          </w:p>
        </w:tc>
        <w:tc>
          <w:tcPr>
            <w:tcW w:w="1099"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98</w:t>
            </w:r>
          </w:p>
        </w:tc>
        <w:tc>
          <w:tcPr>
            <w:tcW w:w="1098"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0.32</w:t>
            </w:r>
          </w:p>
        </w:tc>
        <w:tc>
          <w:tcPr>
            <w:tcW w:w="1099"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24.61</w:t>
            </w:r>
          </w:p>
        </w:tc>
        <w:tc>
          <w:tcPr>
            <w:tcW w:w="1099"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0.14</w:t>
            </w:r>
          </w:p>
        </w:tc>
      </w:tr>
    </w:tbl>
    <w:p w:rsidR="00121031" w:rsidRPr="003A1FE1" w:rsidRDefault="00121031" w:rsidP="00121031">
      <w:pPr>
        <w:snapToGrid w:val="0"/>
        <w:ind w:leftChars="6" w:left="20"/>
        <w:rPr>
          <w:rFonts w:ascii="Times New Roman"/>
          <w:sz w:val="24"/>
          <w:szCs w:val="24"/>
        </w:rPr>
      </w:pPr>
      <w:r w:rsidRPr="003A1FE1">
        <w:rPr>
          <w:rFonts w:ascii="Times New Roman"/>
          <w:sz w:val="24"/>
          <w:szCs w:val="24"/>
        </w:rPr>
        <w:t>註：</w:t>
      </w:r>
      <w:r w:rsidRPr="003A1FE1">
        <w:rPr>
          <w:rFonts w:ascii="Times New Roman"/>
          <w:sz w:val="24"/>
          <w:szCs w:val="24"/>
        </w:rPr>
        <w:t>1.</w:t>
      </w:r>
      <w:r w:rsidRPr="003A1FE1">
        <w:rPr>
          <w:rFonts w:ascii="Times New Roman"/>
          <w:sz w:val="24"/>
          <w:szCs w:val="24"/>
        </w:rPr>
        <w:t>抵押權人不包含「金融機構」者。</w:t>
      </w:r>
    </w:p>
    <w:p w:rsidR="00121031" w:rsidRPr="003A1FE1" w:rsidRDefault="00121031" w:rsidP="00121031">
      <w:pPr>
        <w:snapToGrid w:val="0"/>
        <w:ind w:leftChars="150" w:left="510"/>
        <w:rPr>
          <w:rFonts w:ascii="Times New Roman"/>
          <w:sz w:val="24"/>
          <w:szCs w:val="24"/>
        </w:rPr>
      </w:pPr>
      <w:r w:rsidRPr="003A1FE1">
        <w:rPr>
          <w:rFonts w:ascii="Times New Roman"/>
          <w:sz w:val="24"/>
          <w:szCs w:val="24"/>
        </w:rPr>
        <w:t>2.</w:t>
      </w:r>
      <w:r w:rsidRPr="003A1FE1">
        <w:rPr>
          <w:rFonts w:ascii="Times New Roman"/>
          <w:sz w:val="24"/>
          <w:szCs w:val="24"/>
        </w:rPr>
        <w:t>「合計欄」係指每一縣、市人數、筆數、面積合計。</w:t>
      </w:r>
    </w:p>
    <w:p w:rsidR="00121031" w:rsidRPr="003A1FE1" w:rsidRDefault="00121031" w:rsidP="00121031">
      <w:pPr>
        <w:snapToGrid w:val="0"/>
        <w:ind w:leftChars="150" w:left="510"/>
        <w:rPr>
          <w:rFonts w:ascii="Times New Roman"/>
          <w:sz w:val="24"/>
          <w:szCs w:val="24"/>
        </w:rPr>
      </w:pPr>
      <w:r w:rsidRPr="003A1FE1">
        <w:rPr>
          <w:rFonts w:ascii="Times New Roman"/>
          <w:sz w:val="24"/>
          <w:szCs w:val="24"/>
        </w:rPr>
        <w:t>3.</w:t>
      </w:r>
      <w:r w:rsidRPr="003A1FE1">
        <w:rPr>
          <w:rFonts w:ascii="Times New Roman"/>
          <w:sz w:val="24"/>
          <w:szCs w:val="24"/>
        </w:rPr>
        <w:t>「總計欄」係指全國人數、筆數、面積合計。</w:t>
      </w:r>
    </w:p>
    <w:p w:rsidR="00121031" w:rsidRPr="003A1FE1" w:rsidRDefault="00121031" w:rsidP="00121031">
      <w:pPr>
        <w:snapToGrid w:val="0"/>
        <w:ind w:leftChars="150" w:left="510"/>
        <w:rPr>
          <w:rFonts w:ascii="Times New Roman"/>
          <w:sz w:val="24"/>
          <w:szCs w:val="24"/>
        </w:rPr>
      </w:pPr>
      <w:r w:rsidRPr="003A1FE1">
        <w:rPr>
          <w:rFonts w:ascii="Times New Roman"/>
          <w:sz w:val="24"/>
          <w:szCs w:val="24"/>
        </w:rPr>
        <w:t>4.</w:t>
      </w:r>
      <w:r w:rsidRPr="003A1FE1">
        <w:rPr>
          <w:rFonts w:ascii="Times New Roman"/>
          <w:sz w:val="24"/>
          <w:szCs w:val="24"/>
        </w:rPr>
        <w:t>「％」：係指占地上權總人數、總筆數、總面積之比例；總人數、總筆數、總面積以附表</w:t>
      </w:r>
      <w:r w:rsidRPr="003A1FE1">
        <w:rPr>
          <w:rFonts w:ascii="Times New Roman"/>
          <w:sz w:val="24"/>
          <w:szCs w:val="24"/>
        </w:rPr>
        <w:t>1</w:t>
      </w:r>
      <w:r w:rsidRPr="003A1FE1">
        <w:rPr>
          <w:rFonts w:ascii="Times New Roman"/>
          <w:sz w:val="24"/>
          <w:szCs w:val="24"/>
        </w:rPr>
        <w:t>為基準。</w:t>
      </w:r>
    </w:p>
    <w:p w:rsidR="00121031" w:rsidRPr="003A1FE1" w:rsidRDefault="00121031" w:rsidP="00121031">
      <w:pPr>
        <w:snapToGrid w:val="0"/>
        <w:ind w:leftChars="150" w:left="510"/>
        <w:rPr>
          <w:rFonts w:ascii="Times New Roman"/>
          <w:sz w:val="24"/>
          <w:szCs w:val="24"/>
        </w:rPr>
      </w:pPr>
      <w:r w:rsidRPr="003A1FE1">
        <w:rPr>
          <w:rFonts w:ascii="Times New Roman"/>
          <w:sz w:val="24"/>
          <w:szCs w:val="24"/>
        </w:rPr>
        <w:t>5.</w:t>
      </w:r>
      <w:r w:rsidRPr="003A1FE1">
        <w:rPr>
          <w:rFonts w:ascii="Times New Roman"/>
          <w:sz w:val="24"/>
          <w:szCs w:val="24"/>
        </w:rPr>
        <w:t>指國有原住民保留地設定有地上權，又另外以地上權設定抵押權予他人之情形。</w:t>
      </w:r>
    </w:p>
    <w:p w:rsidR="00121031" w:rsidRPr="003A1FE1" w:rsidRDefault="00121031" w:rsidP="00121031">
      <w:pPr>
        <w:snapToGrid w:val="0"/>
        <w:ind w:leftChars="150" w:left="770" w:hangingChars="100" w:hanging="260"/>
        <w:rPr>
          <w:rFonts w:ascii="Times New Roman"/>
          <w:sz w:val="24"/>
          <w:szCs w:val="24"/>
        </w:rPr>
      </w:pPr>
      <w:r w:rsidRPr="003A1FE1">
        <w:rPr>
          <w:rFonts w:ascii="Times New Roman"/>
          <w:sz w:val="24"/>
          <w:szCs w:val="24"/>
        </w:rPr>
        <w:t>6.</w:t>
      </w:r>
      <w:r w:rsidRPr="003A1FE1">
        <w:rPr>
          <w:rFonts w:ascii="Times New Roman"/>
          <w:sz w:val="24"/>
          <w:szCs w:val="24"/>
        </w:rPr>
        <w:t>擔保債權總金額</w:t>
      </w:r>
      <w:r w:rsidRPr="003A1FE1">
        <w:rPr>
          <w:rFonts w:ascii="Times New Roman"/>
          <w:sz w:val="24"/>
          <w:szCs w:val="24"/>
        </w:rPr>
        <w:t>&gt;</w:t>
      </w:r>
      <w:r w:rsidRPr="003A1FE1">
        <w:rPr>
          <w:rFonts w:ascii="Times New Roman"/>
          <w:sz w:val="24"/>
          <w:szCs w:val="24"/>
        </w:rPr>
        <w:t>共同擔保土地公告現值總和</w:t>
      </w:r>
      <w:r w:rsidRPr="003A1FE1">
        <w:rPr>
          <w:rFonts w:ascii="Times New Roman"/>
          <w:sz w:val="24"/>
          <w:szCs w:val="24"/>
        </w:rPr>
        <w:t>1</w:t>
      </w:r>
      <w:r w:rsidRPr="003A1FE1">
        <w:rPr>
          <w:rFonts w:ascii="Times New Roman"/>
          <w:sz w:val="24"/>
          <w:szCs w:val="24"/>
        </w:rPr>
        <w:t>倍，例：公告現值總和如為</w:t>
      </w:r>
      <w:r w:rsidRPr="003A1FE1">
        <w:rPr>
          <w:rFonts w:ascii="Times New Roman"/>
          <w:sz w:val="24"/>
          <w:szCs w:val="24"/>
        </w:rPr>
        <w:t>10</w:t>
      </w:r>
      <w:r w:rsidRPr="003A1FE1">
        <w:rPr>
          <w:rFonts w:ascii="Times New Roman"/>
          <w:sz w:val="24"/>
          <w:szCs w:val="24"/>
        </w:rPr>
        <w:t>萬元，擔保債權總金額</w:t>
      </w:r>
      <w:r w:rsidRPr="003A1FE1">
        <w:rPr>
          <w:rFonts w:ascii="Times New Roman"/>
          <w:sz w:val="24"/>
          <w:szCs w:val="24"/>
        </w:rPr>
        <w:t>&gt;20</w:t>
      </w:r>
      <w:r w:rsidRPr="003A1FE1">
        <w:rPr>
          <w:rFonts w:ascii="Times New Roman"/>
          <w:sz w:val="24"/>
          <w:szCs w:val="24"/>
        </w:rPr>
        <w:t>萬。</w:t>
      </w:r>
    </w:p>
    <w:p w:rsidR="00121031" w:rsidRPr="003A1FE1" w:rsidRDefault="00121031" w:rsidP="00121031">
      <w:pPr>
        <w:snapToGrid w:val="0"/>
        <w:ind w:leftChars="150" w:left="770" w:hangingChars="100" w:hanging="260"/>
        <w:rPr>
          <w:rFonts w:ascii="Times New Roman"/>
          <w:sz w:val="24"/>
          <w:szCs w:val="24"/>
        </w:rPr>
      </w:pPr>
      <w:r w:rsidRPr="003A1FE1">
        <w:rPr>
          <w:rFonts w:ascii="Times New Roman"/>
          <w:sz w:val="24"/>
          <w:szCs w:val="24"/>
        </w:rPr>
        <w:t>7.</w:t>
      </w:r>
      <w:r w:rsidRPr="003A1FE1">
        <w:rPr>
          <w:rFonts w:ascii="Times New Roman"/>
          <w:sz w:val="24"/>
          <w:szCs w:val="24"/>
        </w:rPr>
        <w:t>擔保債權總金額</w:t>
      </w:r>
      <w:r w:rsidRPr="003A1FE1">
        <w:rPr>
          <w:rFonts w:ascii="Times New Roman"/>
          <w:sz w:val="24"/>
          <w:szCs w:val="24"/>
        </w:rPr>
        <w:t>&gt;</w:t>
      </w:r>
      <w:r w:rsidRPr="003A1FE1">
        <w:rPr>
          <w:rFonts w:ascii="Times New Roman"/>
          <w:sz w:val="24"/>
          <w:szCs w:val="24"/>
        </w:rPr>
        <w:t>共同擔保土地公告現值總和</w:t>
      </w:r>
      <w:r w:rsidRPr="003A1FE1">
        <w:rPr>
          <w:rFonts w:ascii="Times New Roman"/>
          <w:sz w:val="24"/>
          <w:szCs w:val="24"/>
        </w:rPr>
        <w:t>2</w:t>
      </w:r>
      <w:r w:rsidRPr="003A1FE1">
        <w:rPr>
          <w:rFonts w:ascii="Times New Roman"/>
          <w:sz w:val="24"/>
          <w:szCs w:val="24"/>
        </w:rPr>
        <w:t>倍，例：公告現值總和如為</w:t>
      </w:r>
      <w:r w:rsidRPr="003A1FE1">
        <w:rPr>
          <w:rFonts w:ascii="Times New Roman"/>
          <w:sz w:val="24"/>
          <w:szCs w:val="24"/>
        </w:rPr>
        <w:t>10</w:t>
      </w:r>
      <w:r w:rsidRPr="003A1FE1">
        <w:rPr>
          <w:rFonts w:ascii="Times New Roman"/>
          <w:sz w:val="24"/>
          <w:szCs w:val="24"/>
        </w:rPr>
        <w:t>萬元，擔保債權總金額</w:t>
      </w:r>
      <w:r w:rsidRPr="003A1FE1">
        <w:rPr>
          <w:rFonts w:ascii="Times New Roman"/>
          <w:sz w:val="24"/>
          <w:szCs w:val="24"/>
        </w:rPr>
        <w:t>&gt;30</w:t>
      </w:r>
      <w:r w:rsidRPr="003A1FE1">
        <w:rPr>
          <w:rFonts w:ascii="Times New Roman"/>
          <w:sz w:val="24"/>
          <w:szCs w:val="24"/>
        </w:rPr>
        <w:t>萬。</w:t>
      </w:r>
    </w:p>
    <w:p w:rsidR="00121031" w:rsidRPr="003A1FE1" w:rsidRDefault="00121031" w:rsidP="00121031">
      <w:pPr>
        <w:snapToGrid w:val="0"/>
        <w:ind w:left="260" w:hangingChars="100" w:hanging="260"/>
        <w:rPr>
          <w:rFonts w:ascii="Times New Roman"/>
          <w:sz w:val="24"/>
          <w:szCs w:val="24"/>
        </w:rPr>
      </w:pPr>
      <w:r w:rsidRPr="003A1FE1">
        <w:rPr>
          <w:rFonts w:ascii="Times New Roman"/>
          <w:sz w:val="24"/>
          <w:szCs w:val="24"/>
        </w:rPr>
        <w:t>資料來源：原民會。</w:t>
      </w:r>
    </w:p>
    <w:p w:rsidR="00121031" w:rsidRPr="003A1FE1" w:rsidRDefault="00121031" w:rsidP="00C80775">
      <w:pPr>
        <w:snapToGrid w:val="0"/>
        <w:jc w:val="center"/>
        <w:rPr>
          <w:rFonts w:ascii="Times New Roman"/>
          <w:szCs w:val="32"/>
        </w:rPr>
      </w:pPr>
      <w:r w:rsidRPr="003A1FE1">
        <w:rPr>
          <w:rFonts w:ascii="Times New Roman"/>
          <w:szCs w:val="32"/>
        </w:rPr>
        <w:lastRenderedPageBreak/>
        <w:t>表</w:t>
      </w:r>
      <w:r w:rsidRPr="003A1FE1">
        <w:rPr>
          <w:rFonts w:ascii="Times New Roman"/>
          <w:szCs w:val="32"/>
        </w:rPr>
        <w:t xml:space="preserve">6 </w:t>
      </w:r>
      <w:r w:rsidRPr="003A1FE1">
        <w:rPr>
          <w:rFonts w:ascii="Times New Roman"/>
          <w:szCs w:val="32"/>
        </w:rPr>
        <w:t>我國原住民保留地所有權人設定抵押權統計表</w:t>
      </w:r>
    </w:p>
    <w:p w:rsidR="00121031" w:rsidRPr="003A1FE1" w:rsidRDefault="00121031" w:rsidP="00C80775">
      <w:pPr>
        <w:snapToGrid w:val="0"/>
        <w:jc w:val="center"/>
        <w:rPr>
          <w:rFonts w:ascii="Times New Roman"/>
          <w:szCs w:val="32"/>
        </w:rPr>
      </w:pPr>
      <w:r w:rsidRPr="003A1FE1">
        <w:rPr>
          <w:rFonts w:ascii="Times New Roman"/>
          <w:szCs w:val="32"/>
        </w:rPr>
        <w:t>(</w:t>
      </w:r>
      <w:r w:rsidRPr="003A1FE1">
        <w:rPr>
          <w:rFonts w:ascii="Times New Roman"/>
          <w:szCs w:val="32"/>
        </w:rPr>
        <w:t>至</w:t>
      </w:r>
      <w:r w:rsidRPr="003A1FE1">
        <w:rPr>
          <w:rFonts w:ascii="Times New Roman"/>
          <w:szCs w:val="32"/>
        </w:rPr>
        <w:t>105</w:t>
      </w:r>
      <w:r w:rsidRPr="003A1FE1">
        <w:rPr>
          <w:rFonts w:ascii="Times New Roman"/>
          <w:szCs w:val="32"/>
        </w:rPr>
        <w:t>年</w:t>
      </w:r>
      <w:r w:rsidRPr="003A1FE1">
        <w:rPr>
          <w:rFonts w:ascii="Times New Roman"/>
          <w:szCs w:val="32"/>
        </w:rPr>
        <w:t>4</w:t>
      </w:r>
      <w:r w:rsidRPr="003A1FE1">
        <w:rPr>
          <w:rFonts w:ascii="Times New Roman"/>
          <w:szCs w:val="32"/>
        </w:rPr>
        <w:t>月</w:t>
      </w:r>
      <w:r w:rsidRPr="003A1FE1">
        <w:rPr>
          <w:rFonts w:ascii="Times New Roman"/>
          <w:szCs w:val="32"/>
        </w:rPr>
        <w:t>26</w:t>
      </w:r>
      <w:r w:rsidRPr="003A1FE1">
        <w:rPr>
          <w:rFonts w:ascii="Times New Roman"/>
          <w:szCs w:val="32"/>
        </w:rPr>
        <w:t>日止</w:t>
      </w:r>
      <w:r w:rsidRPr="003A1FE1">
        <w:rPr>
          <w:rFonts w:ascii="Times New Roman"/>
          <w:szCs w:val="32"/>
        </w:rPr>
        <w:t>)</w:t>
      </w:r>
    </w:p>
    <w:p w:rsidR="00121031" w:rsidRPr="003A1FE1" w:rsidRDefault="00121031" w:rsidP="00121031">
      <w:pPr>
        <w:snapToGrid w:val="0"/>
        <w:jc w:val="right"/>
        <w:rPr>
          <w:rFonts w:ascii="Times New Roman"/>
          <w:szCs w:val="24"/>
        </w:rPr>
      </w:pPr>
      <w:r w:rsidRPr="003A1FE1">
        <w:rPr>
          <w:rFonts w:ascii="Times New Roman"/>
          <w:szCs w:val="24"/>
        </w:rPr>
        <w:t>單位：人；筆；公頃</w:t>
      </w:r>
    </w:p>
    <w:tbl>
      <w:tblPr>
        <w:tblW w:w="14589" w:type="dxa"/>
        <w:jc w:val="center"/>
        <w:tblCellMar>
          <w:left w:w="28" w:type="dxa"/>
          <w:right w:w="28" w:type="dxa"/>
        </w:tblCellMar>
        <w:tblLook w:val="04A0"/>
      </w:tblPr>
      <w:tblGrid>
        <w:gridCol w:w="413"/>
        <w:gridCol w:w="1128"/>
        <w:gridCol w:w="1084"/>
        <w:gridCol w:w="1086"/>
        <w:gridCol w:w="1085"/>
        <w:gridCol w:w="1086"/>
        <w:gridCol w:w="1097"/>
        <w:gridCol w:w="1086"/>
        <w:gridCol w:w="1085"/>
        <w:gridCol w:w="1086"/>
        <w:gridCol w:w="1084"/>
        <w:gridCol w:w="1086"/>
        <w:gridCol w:w="1097"/>
        <w:gridCol w:w="1086"/>
      </w:tblGrid>
      <w:tr w:rsidR="003A1FE1" w:rsidRPr="003A1FE1" w:rsidTr="00B25F84">
        <w:trPr>
          <w:trHeight w:val="625"/>
          <w:tblHeader/>
          <w:jc w:val="center"/>
        </w:trPr>
        <w:tc>
          <w:tcPr>
            <w:tcW w:w="1541" w:type="dxa"/>
            <w:gridSpan w:val="2"/>
            <w:vMerge w:val="restart"/>
            <w:tcBorders>
              <w:top w:val="single" w:sz="4" w:space="0" w:color="111111"/>
              <w:left w:val="single" w:sz="4" w:space="0" w:color="111111"/>
              <w:bottom w:val="single" w:sz="4" w:space="0" w:color="111111"/>
              <w:right w:val="single" w:sz="4" w:space="0" w:color="111111"/>
              <w:tl2br w:val="single" w:sz="4" w:space="0" w:color="111111"/>
            </w:tcBorders>
            <w:shd w:val="clear" w:color="000000" w:fill="auto"/>
            <w:vAlign w:val="center"/>
            <w:hideMark/>
          </w:tcPr>
          <w:p w:rsidR="00121031" w:rsidRPr="003A1FE1" w:rsidRDefault="00121031" w:rsidP="00B25F84">
            <w:pPr>
              <w:widowControl/>
              <w:wordWrap w:val="0"/>
              <w:jc w:val="right"/>
              <w:rPr>
                <w:rFonts w:ascii="Times New Roman"/>
                <w:kern w:val="0"/>
                <w:sz w:val="24"/>
                <w:szCs w:val="24"/>
              </w:rPr>
            </w:pPr>
            <w:r w:rsidRPr="003A1FE1">
              <w:rPr>
                <w:rFonts w:ascii="Times New Roman"/>
                <w:kern w:val="0"/>
                <w:sz w:val="24"/>
                <w:szCs w:val="24"/>
              </w:rPr>
              <w:t>項目</w:t>
            </w:r>
            <w:r w:rsidRPr="003A1FE1">
              <w:rPr>
                <w:rFonts w:ascii="Times New Roman"/>
                <w:kern w:val="0"/>
                <w:sz w:val="24"/>
                <w:szCs w:val="24"/>
              </w:rPr>
              <w:t xml:space="preserve"> </w:t>
            </w:r>
          </w:p>
          <w:p w:rsidR="00121031" w:rsidRPr="003A1FE1" w:rsidRDefault="00121031" w:rsidP="00B25F84">
            <w:pPr>
              <w:jc w:val="left"/>
              <w:rPr>
                <w:rFonts w:ascii="Times New Roman"/>
                <w:kern w:val="0"/>
                <w:sz w:val="24"/>
                <w:szCs w:val="24"/>
              </w:rPr>
            </w:pPr>
            <w:r w:rsidRPr="003A1FE1">
              <w:rPr>
                <w:rFonts w:ascii="Times New Roman"/>
                <w:kern w:val="0"/>
                <w:sz w:val="24"/>
                <w:szCs w:val="24"/>
              </w:rPr>
              <w:t xml:space="preserve"> </w:t>
            </w:r>
            <w:r w:rsidRPr="003A1FE1">
              <w:rPr>
                <w:rFonts w:ascii="Times New Roman"/>
                <w:kern w:val="0"/>
                <w:sz w:val="24"/>
                <w:szCs w:val="24"/>
              </w:rPr>
              <w:t>縣市</w:t>
            </w:r>
          </w:p>
        </w:tc>
        <w:tc>
          <w:tcPr>
            <w:tcW w:w="6524" w:type="dxa"/>
            <w:gridSpan w:val="6"/>
            <w:tcBorders>
              <w:top w:val="single" w:sz="4" w:space="0" w:color="111111"/>
              <w:left w:val="single" w:sz="4" w:space="0" w:color="111111"/>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擔保債權總金額</w:t>
            </w:r>
            <w:r w:rsidRPr="003A1FE1">
              <w:rPr>
                <w:rFonts w:ascii="Times New Roman"/>
                <w:kern w:val="0"/>
                <w:sz w:val="24"/>
                <w:szCs w:val="24"/>
              </w:rPr>
              <w:t>&gt;</w:t>
            </w:r>
            <w:r w:rsidRPr="003A1FE1">
              <w:rPr>
                <w:rFonts w:ascii="Times New Roman"/>
                <w:kern w:val="0"/>
                <w:sz w:val="24"/>
                <w:szCs w:val="24"/>
              </w:rPr>
              <w:t>共同擔保土地公告現值總和</w:t>
            </w:r>
            <w:r w:rsidRPr="003A1FE1">
              <w:rPr>
                <w:rFonts w:ascii="Times New Roman"/>
                <w:kern w:val="0"/>
                <w:sz w:val="24"/>
                <w:szCs w:val="24"/>
              </w:rPr>
              <w:t>1</w:t>
            </w:r>
            <w:r w:rsidRPr="003A1FE1">
              <w:rPr>
                <w:rFonts w:ascii="Times New Roman"/>
                <w:kern w:val="0"/>
                <w:sz w:val="24"/>
                <w:szCs w:val="24"/>
              </w:rPr>
              <w:t>倍</w:t>
            </w:r>
          </w:p>
        </w:tc>
        <w:tc>
          <w:tcPr>
            <w:tcW w:w="6524" w:type="dxa"/>
            <w:gridSpan w:val="6"/>
            <w:tcBorders>
              <w:top w:val="single" w:sz="4" w:space="0" w:color="111111"/>
              <w:left w:val="single" w:sz="4" w:space="0" w:color="111111"/>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擔保債權總金額</w:t>
            </w:r>
            <w:r w:rsidRPr="003A1FE1">
              <w:rPr>
                <w:rFonts w:ascii="Times New Roman"/>
                <w:kern w:val="0"/>
                <w:sz w:val="24"/>
                <w:szCs w:val="24"/>
              </w:rPr>
              <w:t>&gt;</w:t>
            </w:r>
            <w:r w:rsidRPr="003A1FE1">
              <w:rPr>
                <w:rFonts w:ascii="Times New Roman"/>
                <w:kern w:val="0"/>
                <w:sz w:val="24"/>
                <w:szCs w:val="24"/>
              </w:rPr>
              <w:t>共同擔保土地公告現值總和</w:t>
            </w:r>
            <w:r w:rsidRPr="003A1FE1">
              <w:rPr>
                <w:rFonts w:ascii="Times New Roman"/>
                <w:kern w:val="0"/>
                <w:sz w:val="24"/>
                <w:szCs w:val="24"/>
              </w:rPr>
              <w:t>2</w:t>
            </w:r>
            <w:r w:rsidRPr="003A1FE1">
              <w:rPr>
                <w:rFonts w:ascii="Times New Roman"/>
                <w:kern w:val="0"/>
                <w:sz w:val="24"/>
                <w:szCs w:val="24"/>
              </w:rPr>
              <w:t>倍以上</w:t>
            </w:r>
          </w:p>
        </w:tc>
      </w:tr>
      <w:tr w:rsidR="003A1FE1" w:rsidRPr="003A1FE1" w:rsidTr="00B25F84">
        <w:trPr>
          <w:trHeight w:val="330"/>
          <w:tblHeader/>
          <w:jc w:val="center"/>
        </w:trPr>
        <w:tc>
          <w:tcPr>
            <w:tcW w:w="1541" w:type="dxa"/>
            <w:gridSpan w:val="2"/>
            <w:vMerge/>
            <w:tcBorders>
              <w:left w:val="single" w:sz="4" w:space="0" w:color="111111"/>
              <w:bottom w:val="single" w:sz="4" w:space="0" w:color="111111"/>
              <w:right w:val="single" w:sz="4" w:space="0" w:color="111111"/>
              <w:tl2br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p>
        </w:tc>
        <w:tc>
          <w:tcPr>
            <w:tcW w:w="1084"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人數</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w:t>
            </w:r>
          </w:p>
        </w:tc>
        <w:tc>
          <w:tcPr>
            <w:tcW w:w="1085"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筆數</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w:t>
            </w:r>
          </w:p>
        </w:tc>
        <w:tc>
          <w:tcPr>
            <w:tcW w:w="1097"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面積</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w:t>
            </w:r>
          </w:p>
        </w:tc>
        <w:tc>
          <w:tcPr>
            <w:tcW w:w="1085"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人數</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w:t>
            </w:r>
          </w:p>
        </w:tc>
        <w:tc>
          <w:tcPr>
            <w:tcW w:w="1084"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筆數</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w:t>
            </w:r>
          </w:p>
        </w:tc>
        <w:tc>
          <w:tcPr>
            <w:tcW w:w="1097"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面積</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w:t>
            </w:r>
          </w:p>
        </w:tc>
      </w:tr>
      <w:tr w:rsidR="003A1FE1" w:rsidRPr="003A1FE1" w:rsidTr="00B25F84">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基隆市</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中正區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w:t>
            </w:r>
          </w:p>
        </w:tc>
      </w:tr>
      <w:tr w:rsidR="003A1FE1" w:rsidRPr="003A1FE1" w:rsidTr="00B25F84">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新北市</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土城區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烏來區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11.01</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384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11.93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49.421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10.74</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370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11.49</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40.419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4.74</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122</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11.01</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384</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11.93</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49.421</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5.8</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119</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10.74</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370</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11.49</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40.419</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4.74</w:t>
            </w:r>
          </w:p>
        </w:tc>
      </w:tr>
      <w:tr w:rsidR="003A1FE1" w:rsidRPr="003A1FE1" w:rsidTr="00B25F84">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宜蘭縣</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三星鄉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2.53</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3.94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0.058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2.78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2.53</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3.94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0.058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2.78</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大同鄉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1.13</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0.68</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39.511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0.97</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22.608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0.72</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南澳鄉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0.79</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12.689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0.92</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0.67</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9.376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0.33</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員山鄉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2.04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0.805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19.53</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2.04</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0.805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19.53</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77</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1.09</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128</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0.78</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53.063</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0.88</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69</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0.98</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106</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0.64</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32.847</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0.55</w:t>
            </w:r>
          </w:p>
        </w:tc>
      </w:tr>
      <w:tr w:rsidR="003A1FE1" w:rsidRPr="003A1FE1" w:rsidTr="00B25F84">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桃園市</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八德區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大溪區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復興區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318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7.28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1128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7.64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178.263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300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6.86</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1076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7.29</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156.454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3.51</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318</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7.27</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1128</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7.64</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178.263</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300</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6.86</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1076</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7.29</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156.454</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3.51</w:t>
            </w:r>
          </w:p>
        </w:tc>
      </w:tr>
      <w:tr w:rsidR="003A1FE1" w:rsidRPr="003A1FE1" w:rsidTr="00B25F84">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新竹</w:t>
            </w:r>
            <w:r w:rsidRPr="003A1FE1">
              <w:rPr>
                <w:rFonts w:ascii="Times New Roman"/>
                <w:kern w:val="0"/>
                <w:sz w:val="24"/>
                <w:szCs w:val="24"/>
              </w:rPr>
              <w:lastRenderedPageBreak/>
              <w:t>縣</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lastRenderedPageBreak/>
              <w:t>五峰鄉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3.06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327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3.28</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142.064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2.51</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2.95</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307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3.08</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119.987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2.12</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尖石鄉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182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4.69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623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5.31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298.004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4.86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175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4.51</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592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5.05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250.647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4.09</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橫山鄉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5.88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10.42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1.568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10.12</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5.88</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10.42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1.568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10.12</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關西鎮</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18.75</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17.36</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31.677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14.55</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16.48</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16.53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28.311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13.01</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328</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4.24</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1081</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4.81</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473.313</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3.94</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313</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4.04</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1024</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4.55</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400.513</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3.33</w:t>
            </w:r>
          </w:p>
        </w:tc>
      </w:tr>
      <w:tr w:rsidR="003A1FE1" w:rsidRPr="003A1FE1" w:rsidTr="00B25F84">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苗栗縣</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南庄鄉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1.99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16.393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1.78</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2.19</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15.634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1.18</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泰安鄉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2.67</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226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2.61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54.929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1.51</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2.53</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212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2.45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47.719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1.32</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獅潭鄉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95</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2.45</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287</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2.49</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71.322</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1.38</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89</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2.29</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270</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2.34</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63.353</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1.23</w:t>
            </w:r>
          </w:p>
        </w:tc>
      </w:tr>
      <w:tr w:rsidR="003A1FE1" w:rsidRPr="003A1FE1" w:rsidTr="00B25F84">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臺中市</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和平區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4.04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3.12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27.621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3.06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3.41</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86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2.63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21.855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2.42</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新社區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58</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4.04</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102</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3.12</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27.621</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3.06</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49</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3.41</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86</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2.63</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21.855</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2.42</w:t>
            </w:r>
          </w:p>
        </w:tc>
      </w:tr>
      <w:tr w:rsidR="003A1FE1" w:rsidRPr="003A1FE1" w:rsidTr="00B25F84">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南投縣</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仁愛鄉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206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2.98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349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140.43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1.98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165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2.39</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293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1.93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100.513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1.41</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水里鄉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信義鄉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1.88</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36.849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1.71</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133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1.66</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25.716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0.89</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魚池鄉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2.67</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2.6</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2.67</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1.56</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280</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2.59</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502</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2.15</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177.299</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1.77</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232</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2.15</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428</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1.84</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126.249</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1.26</w:t>
            </w:r>
          </w:p>
        </w:tc>
      </w:tr>
      <w:tr w:rsidR="003A1FE1" w:rsidRPr="003A1FE1" w:rsidTr="00B25F84">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嘉義縣</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阿里山鄉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1.85</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2.27</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26.921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1.47</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91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1.86</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19.102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0.41</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43</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1.85</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111</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2.27</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26.921</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0.58</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34</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1.47</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91</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1.86</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19.102</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0.41</w:t>
            </w:r>
          </w:p>
        </w:tc>
      </w:tr>
      <w:tr w:rsidR="003A1FE1" w:rsidRPr="003A1FE1" w:rsidTr="00B25F84">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高雄</w:t>
            </w:r>
            <w:r w:rsidRPr="003A1FE1">
              <w:rPr>
                <w:rFonts w:ascii="Times New Roman"/>
                <w:kern w:val="0"/>
                <w:sz w:val="24"/>
                <w:szCs w:val="24"/>
              </w:rPr>
              <w:lastRenderedPageBreak/>
              <w:t>市</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lastRenderedPageBreak/>
              <w:t>六龜區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11.64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17.2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8.884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11.08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10.96</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16.4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6.592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8.22</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那瑪夏區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0.12</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0.14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1.256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0.05</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0.12</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0.11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0.962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0.04</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茂林區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3.19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2.18</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11.745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2.99</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2.01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11.008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0.99</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桃源區</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2.2</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96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2.05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50.096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1.93</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84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1.79</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43.85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0.96</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108</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2.01</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219</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1.94</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71.981</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0.89</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98</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1.82</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198</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1.76</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62.412</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0.77</w:t>
            </w:r>
          </w:p>
        </w:tc>
      </w:tr>
      <w:tr w:rsidR="003A1FE1" w:rsidRPr="003A1FE1" w:rsidTr="00B25F84">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屏東縣</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三地門鄉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2.79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177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1.72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49.15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1.13</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94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2.39</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39.791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0.91</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內埔鄉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0.337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0.23</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0.89</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0.327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0.23</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牡丹鄉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84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45.401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0.91</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40.3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0.87</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車城鄉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來義鄉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0.97</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80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0.76</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10.436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0.26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0.74</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0.65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8.543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0.21</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枋寮鄉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長治鄉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0.39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0.56</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0.594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0.3</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春日鄉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1.32</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0.89</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14.178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0.43</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1.01</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8.267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0.25</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泰武鄉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2.55</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1.75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37.334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2.23</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1.56</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28.848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0.77</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新埤鄉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5.88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4.55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0.095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0.62</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3.92</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2.27</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0.021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0.14</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獅子鄉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40.831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0.55</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1.39</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97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1.08</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31.346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0.42</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萬巒鄉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0.68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0.69</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0.008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0.41</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0.68</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0.69</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0.008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0.41</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滿州鄉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2.56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3.08</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0.892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1.78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2.56</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3.08</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0.892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1.78</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瑪家鄉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1.13</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10.036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0.35</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0.99</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7.272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0.25</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霧台鄉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11.229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0.47</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0.77</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5.606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0.23</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鹽埔鄉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0.34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0.009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0.01</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0.34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0.009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0.01</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423</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1.54</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735</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1.18</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220.706</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0.66</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357</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1.3</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638</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1.02</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171.824</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0.52</w:t>
            </w:r>
          </w:p>
        </w:tc>
      </w:tr>
      <w:tr w:rsidR="003A1FE1" w:rsidRPr="003A1FE1" w:rsidTr="00B25F84">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lastRenderedPageBreak/>
              <w:t>臺東縣</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大武鄉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1.38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4.821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0.27</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1.16</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4.429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0.24</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太麻里鄉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2.44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174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3.72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71.456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3.48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2.17</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161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3.44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65.405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3.18</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台東市</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0.034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0.32</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0.28</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0.029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0.03</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成功鎮</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0.47</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0.057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0.19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0.47</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0.057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0.19</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池上鄉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0.63</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0.012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0.18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0.63</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0.012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0.18</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卑南鄉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0.66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0.59</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3.866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0.58</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3.858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0.58</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延平鄉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1.96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137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3.02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44.461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1.86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1.85</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2.84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41.244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1.72</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東河鄉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0.031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金峰鄉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2.14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20.691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1.23</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1.22</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1.72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12.221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0.72</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長濱鄉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0.34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0.021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0.03</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0.34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0.021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0.03</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海端鄉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0.85</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0.77</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10.646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0.29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0.72</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8.68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0.24</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鹿野鄉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1.32</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1.35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0.045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1.32</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1.35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0.045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達仁鄉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0.81</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12.585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0.26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0.68</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0.69</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8.942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0.18</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關山鎮</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蘭嶼鄉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232</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1.3</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517</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1.69</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168.726</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0.97</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200</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1.12</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462</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1.51</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144.943</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0.83</w:t>
            </w:r>
          </w:p>
        </w:tc>
      </w:tr>
      <w:tr w:rsidR="003A1FE1" w:rsidRPr="003A1FE1" w:rsidTr="00B25F84">
        <w:trPr>
          <w:trHeight w:val="375"/>
          <w:jc w:val="center"/>
        </w:trPr>
        <w:tc>
          <w:tcPr>
            <w:tcW w:w="413" w:type="dxa"/>
            <w:vMerge w:val="restart"/>
            <w:tcBorders>
              <w:top w:val="nil"/>
              <w:left w:val="single" w:sz="4" w:space="0" w:color="111111"/>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花蓮縣</w:t>
            </w: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玉里鎮</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0.87</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0.575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0.95</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0.87</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0.74</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0.575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0.95</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光復鄉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0.24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0.23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0.026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0.02</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吉安鄉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0.17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0.51</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0.6</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0.17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0.51</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秀林鄉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280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2.98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664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4.22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111.227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2.48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228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2.43</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564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3.58</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86.689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1.93</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卓溪鄉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1.02</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91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1.06</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34.282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0.94</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79</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0.92</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31.957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0.74</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花蓮市</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0.56</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0.001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0.02</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0.56</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0.001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0.02</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富里鄉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0.035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0.11</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新城鄉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瑞穗鄉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0</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萬榮鄉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1.37</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128</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1.33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46.81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1.15</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34.792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0.89</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壽豐鄉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1.41</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1.06</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1.587</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0.59</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1.17</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5</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0.88</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1.536</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0.57</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鳳林鎮</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0.93</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0.75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0.431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0.48</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0.47</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0.25</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0.04</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0.04</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豐濱鄉</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0.27</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0.23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0.042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0.04</w:t>
            </w:r>
          </w:p>
        </w:tc>
        <w:tc>
          <w:tcPr>
            <w:tcW w:w="1085"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0.27</w:t>
            </w:r>
          </w:p>
        </w:tc>
        <w:tc>
          <w:tcPr>
            <w:tcW w:w="1084"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0.23</w:t>
            </w:r>
          </w:p>
        </w:tc>
        <w:tc>
          <w:tcPr>
            <w:tcW w:w="1097"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0.042</w:t>
            </w:r>
          </w:p>
        </w:tc>
        <w:tc>
          <w:tcPr>
            <w:tcW w:w="1086" w:type="dxa"/>
            <w:tcBorders>
              <w:top w:val="nil"/>
              <w:left w:val="nil"/>
              <w:bottom w:val="single" w:sz="4" w:space="0" w:color="111111"/>
              <w:right w:val="single" w:sz="4" w:space="0" w:color="111111"/>
            </w:tcBorders>
            <w:shd w:val="clear" w:color="auto"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0.04</w:t>
            </w:r>
          </w:p>
        </w:tc>
      </w:tr>
      <w:tr w:rsidR="003A1FE1" w:rsidRPr="003A1FE1" w:rsidTr="00B25F84">
        <w:trPr>
          <w:trHeight w:val="375"/>
          <w:jc w:val="center"/>
        </w:trPr>
        <w:tc>
          <w:tcPr>
            <w:tcW w:w="413" w:type="dxa"/>
            <w:vMerge/>
            <w:tcBorders>
              <w:top w:val="nil"/>
              <w:left w:val="single" w:sz="4" w:space="0" w:color="111111"/>
              <w:bottom w:val="single" w:sz="4" w:space="0" w:color="111111"/>
              <w:right w:val="single" w:sz="4" w:space="0" w:color="111111"/>
            </w:tcBorders>
            <w:vAlign w:val="center"/>
            <w:hideMark/>
          </w:tcPr>
          <w:p w:rsidR="00121031" w:rsidRPr="003A1FE1" w:rsidRDefault="00121031" w:rsidP="00B25F84">
            <w:pPr>
              <w:widowControl/>
              <w:rPr>
                <w:rFonts w:ascii="Times New Roman"/>
                <w:kern w:val="0"/>
                <w:sz w:val="24"/>
                <w:szCs w:val="24"/>
              </w:rPr>
            </w:pPr>
          </w:p>
        </w:tc>
        <w:tc>
          <w:tcPr>
            <w:tcW w:w="1128"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合</w:t>
            </w:r>
            <w:r w:rsidRPr="003A1FE1">
              <w:rPr>
                <w:rFonts w:ascii="Times New Roman"/>
                <w:kern w:val="0"/>
                <w:sz w:val="24"/>
                <w:szCs w:val="24"/>
              </w:rPr>
              <w:t xml:space="preserve"> </w:t>
            </w:r>
            <w:r w:rsidRPr="003A1FE1">
              <w:rPr>
                <w:rFonts w:ascii="Times New Roman"/>
                <w:kern w:val="0"/>
                <w:sz w:val="24"/>
                <w:szCs w:val="24"/>
              </w:rPr>
              <w:t>計</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398</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1.93</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904</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2.4</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195.186</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1.44</w:t>
            </w:r>
          </w:p>
        </w:tc>
        <w:tc>
          <w:tcPr>
            <w:tcW w:w="1085"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329</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1.59</w:t>
            </w:r>
          </w:p>
        </w:tc>
        <w:tc>
          <w:tcPr>
            <w:tcW w:w="1084"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765</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2.03</w:t>
            </w:r>
          </w:p>
        </w:tc>
        <w:tc>
          <w:tcPr>
            <w:tcW w:w="1097"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155.802</w:t>
            </w:r>
          </w:p>
        </w:tc>
        <w:tc>
          <w:tcPr>
            <w:tcW w:w="1086" w:type="dxa"/>
            <w:tcBorders>
              <w:top w:val="single" w:sz="4" w:space="0" w:color="111111"/>
              <w:left w:val="nil"/>
              <w:bottom w:val="single" w:sz="4" w:space="0" w:color="111111"/>
              <w:right w:val="single" w:sz="4" w:space="0" w:color="111111"/>
            </w:tcBorders>
            <w:shd w:val="clear" w:color="000000" w:fill="auto"/>
            <w:vAlign w:val="center"/>
            <w:hideMark/>
          </w:tcPr>
          <w:p w:rsidR="00121031" w:rsidRPr="003A1FE1" w:rsidRDefault="00121031" w:rsidP="00B25F84">
            <w:pPr>
              <w:widowControl/>
              <w:jc w:val="right"/>
              <w:rPr>
                <w:rFonts w:ascii="Times New Roman"/>
                <w:kern w:val="0"/>
                <w:sz w:val="24"/>
                <w:szCs w:val="24"/>
              </w:rPr>
            </w:pPr>
            <w:r w:rsidRPr="003A1FE1">
              <w:rPr>
                <w:rFonts w:ascii="Times New Roman"/>
                <w:kern w:val="0"/>
                <w:sz w:val="24"/>
                <w:szCs w:val="24"/>
              </w:rPr>
              <w:t> 1.15</w:t>
            </w:r>
          </w:p>
        </w:tc>
      </w:tr>
      <w:tr w:rsidR="003A1FE1" w:rsidRPr="003A1FE1" w:rsidTr="00B25F84">
        <w:trPr>
          <w:trHeight w:val="525"/>
          <w:jc w:val="center"/>
        </w:trPr>
        <w:tc>
          <w:tcPr>
            <w:tcW w:w="1541" w:type="dxa"/>
            <w:gridSpan w:val="2"/>
            <w:tcBorders>
              <w:top w:val="single" w:sz="4" w:space="0" w:color="111111"/>
              <w:left w:val="single" w:sz="4" w:space="0" w:color="111111"/>
              <w:bottom w:val="single" w:sz="4" w:space="0" w:color="111111"/>
              <w:right w:val="single" w:sz="4" w:space="0" w:color="111111"/>
            </w:tcBorders>
            <w:shd w:val="clear" w:color="000000" w:fill="auto"/>
            <w:vAlign w:val="center"/>
            <w:hideMark/>
          </w:tcPr>
          <w:p w:rsidR="00121031" w:rsidRPr="003A1FE1" w:rsidRDefault="00121031" w:rsidP="00B25F84">
            <w:pPr>
              <w:widowControl/>
              <w:rPr>
                <w:rFonts w:ascii="Times New Roman"/>
                <w:kern w:val="0"/>
                <w:sz w:val="24"/>
                <w:szCs w:val="24"/>
              </w:rPr>
            </w:pPr>
            <w:r w:rsidRPr="003A1FE1">
              <w:rPr>
                <w:rFonts w:ascii="Times New Roman"/>
                <w:kern w:val="0"/>
                <w:sz w:val="24"/>
                <w:szCs w:val="24"/>
              </w:rPr>
              <w:t>總計</w:t>
            </w:r>
          </w:p>
        </w:tc>
        <w:tc>
          <w:tcPr>
            <w:tcW w:w="1084"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2482</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2.25</w:t>
            </w:r>
          </w:p>
        </w:tc>
        <w:tc>
          <w:tcPr>
            <w:tcW w:w="1085"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6098</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2.52</w:t>
            </w:r>
          </w:p>
        </w:tc>
        <w:tc>
          <w:tcPr>
            <w:tcW w:w="1097"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1713.822</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1.47</w:t>
            </w:r>
          </w:p>
        </w:tc>
        <w:tc>
          <w:tcPr>
            <w:tcW w:w="1085"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2189</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1.99</w:t>
            </w:r>
          </w:p>
        </w:tc>
        <w:tc>
          <w:tcPr>
            <w:tcW w:w="1084"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5514</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2.28</w:t>
            </w:r>
          </w:p>
        </w:tc>
        <w:tc>
          <w:tcPr>
            <w:tcW w:w="1097"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1395.773</w:t>
            </w:r>
          </w:p>
        </w:tc>
        <w:tc>
          <w:tcPr>
            <w:tcW w:w="1086" w:type="dxa"/>
            <w:tcBorders>
              <w:top w:val="nil"/>
              <w:left w:val="nil"/>
              <w:bottom w:val="single" w:sz="4" w:space="0" w:color="111111"/>
              <w:right w:val="single" w:sz="4" w:space="0" w:color="111111"/>
            </w:tcBorders>
            <w:shd w:val="clear" w:color="000000" w:fill="auto"/>
            <w:vAlign w:val="center"/>
            <w:hideMark/>
          </w:tcPr>
          <w:p w:rsidR="00121031" w:rsidRPr="003A1FE1" w:rsidRDefault="00121031" w:rsidP="00B25F84">
            <w:pPr>
              <w:jc w:val="right"/>
              <w:rPr>
                <w:rFonts w:ascii="Times New Roman"/>
                <w:sz w:val="24"/>
                <w:szCs w:val="24"/>
              </w:rPr>
            </w:pPr>
            <w:r w:rsidRPr="003A1FE1">
              <w:rPr>
                <w:rFonts w:ascii="Times New Roman"/>
                <w:sz w:val="24"/>
                <w:szCs w:val="24"/>
              </w:rPr>
              <w:t>1.20</w:t>
            </w:r>
          </w:p>
        </w:tc>
      </w:tr>
    </w:tbl>
    <w:p w:rsidR="00121031" w:rsidRPr="003A1FE1" w:rsidRDefault="00121031" w:rsidP="00121031">
      <w:pPr>
        <w:snapToGrid w:val="0"/>
        <w:ind w:left="260" w:hangingChars="100" w:hanging="260"/>
        <w:rPr>
          <w:rFonts w:ascii="Times New Roman"/>
          <w:sz w:val="24"/>
          <w:szCs w:val="24"/>
        </w:rPr>
      </w:pPr>
      <w:r w:rsidRPr="003A1FE1">
        <w:rPr>
          <w:rFonts w:ascii="Times New Roman"/>
          <w:sz w:val="24"/>
          <w:szCs w:val="24"/>
        </w:rPr>
        <w:t>註：</w:t>
      </w:r>
      <w:r w:rsidRPr="003A1FE1">
        <w:rPr>
          <w:rFonts w:ascii="Times New Roman"/>
          <w:sz w:val="24"/>
          <w:szCs w:val="24"/>
        </w:rPr>
        <w:t>1.</w:t>
      </w:r>
      <w:r w:rsidRPr="003A1FE1">
        <w:rPr>
          <w:rFonts w:ascii="Times New Roman"/>
          <w:sz w:val="24"/>
          <w:szCs w:val="24"/>
        </w:rPr>
        <w:t>抵押權人不包含「金融機構」者。</w:t>
      </w:r>
    </w:p>
    <w:p w:rsidR="00121031" w:rsidRPr="003A1FE1" w:rsidRDefault="00121031" w:rsidP="00121031">
      <w:pPr>
        <w:snapToGrid w:val="0"/>
        <w:ind w:leftChars="150" w:left="770" w:hangingChars="100" w:hanging="260"/>
        <w:rPr>
          <w:rFonts w:ascii="Times New Roman"/>
          <w:sz w:val="24"/>
          <w:szCs w:val="24"/>
        </w:rPr>
      </w:pPr>
      <w:r w:rsidRPr="003A1FE1">
        <w:rPr>
          <w:rFonts w:ascii="Times New Roman"/>
          <w:sz w:val="24"/>
          <w:szCs w:val="24"/>
        </w:rPr>
        <w:t>2.</w:t>
      </w:r>
      <w:r w:rsidRPr="003A1FE1">
        <w:rPr>
          <w:rFonts w:ascii="Times New Roman"/>
          <w:sz w:val="24"/>
          <w:szCs w:val="24"/>
        </w:rPr>
        <w:t>「合計欄」係指每一縣、市人數、筆數、面積合計。</w:t>
      </w:r>
    </w:p>
    <w:p w:rsidR="00121031" w:rsidRPr="003A1FE1" w:rsidRDefault="00121031" w:rsidP="00121031">
      <w:pPr>
        <w:snapToGrid w:val="0"/>
        <w:ind w:leftChars="150" w:left="770" w:hangingChars="100" w:hanging="260"/>
        <w:rPr>
          <w:rFonts w:ascii="Times New Roman"/>
          <w:sz w:val="24"/>
          <w:szCs w:val="24"/>
        </w:rPr>
      </w:pPr>
      <w:r w:rsidRPr="003A1FE1">
        <w:rPr>
          <w:rFonts w:ascii="Times New Roman"/>
          <w:sz w:val="24"/>
          <w:szCs w:val="24"/>
        </w:rPr>
        <w:t>3.</w:t>
      </w:r>
      <w:r w:rsidRPr="003A1FE1">
        <w:rPr>
          <w:rFonts w:ascii="Times New Roman"/>
          <w:sz w:val="24"/>
          <w:szCs w:val="24"/>
        </w:rPr>
        <w:t>「總計欄」係指全國人數、筆數、面積合計。</w:t>
      </w:r>
    </w:p>
    <w:p w:rsidR="00121031" w:rsidRPr="003A1FE1" w:rsidRDefault="00121031" w:rsidP="00121031">
      <w:pPr>
        <w:snapToGrid w:val="0"/>
        <w:ind w:leftChars="150" w:left="770" w:hangingChars="100" w:hanging="260"/>
        <w:rPr>
          <w:rFonts w:ascii="Times New Roman"/>
          <w:sz w:val="24"/>
          <w:szCs w:val="24"/>
        </w:rPr>
      </w:pPr>
      <w:r w:rsidRPr="003A1FE1">
        <w:rPr>
          <w:rFonts w:ascii="Times New Roman"/>
          <w:sz w:val="24"/>
          <w:szCs w:val="24"/>
        </w:rPr>
        <w:t>4.</w:t>
      </w:r>
      <w:r w:rsidRPr="003A1FE1">
        <w:rPr>
          <w:rFonts w:ascii="Times New Roman"/>
          <w:sz w:val="24"/>
          <w:szCs w:val="24"/>
        </w:rPr>
        <w:t>「％」：係指占所有權總人數、總筆數、總面積之比例；總人數、總筆數、總面積以附表</w:t>
      </w:r>
      <w:r w:rsidRPr="003A1FE1">
        <w:rPr>
          <w:rFonts w:ascii="Times New Roman"/>
          <w:sz w:val="24"/>
          <w:szCs w:val="24"/>
        </w:rPr>
        <w:t>1</w:t>
      </w:r>
      <w:r w:rsidRPr="003A1FE1">
        <w:rPr>
          <w:rFonts w:ascii="Times New Roman"/>
          <w:sz w:val="24"/>
          <w:szCs w:val="24"/>
        </w:rPr>
        <w:t>為基準。</w:t>
      </w:r>
    </w:p>
    <w:p w:rsidR="00121031" w:rsidRPr="003A1FE1" w:rsidRDefault="00121031" w:rsidP="00121031">
      <w:pPr>
        <w:snapToGrid w:val="0"/>
        <w:ind w:leftChars="150" w:left="770" w:hangingChars="100" w:hanging="260"/>
        <w:rPr>
          <w:rFonts w:ascii="Times New Roman"/>
          <w:sz w:val="24"/>
          <w:szCs w:val="24"/>
        </w:rPr>
      </w:pPr>
      <w:r w:rsidRPr="003A1FE1">
        <w:rPr>
          <w:rFonts w:ascii="Times New Roman"/>
          <w:sz w:val="24"/>
          <w:szCs w:val="24"/>
        </w:rPr>
        <w:t>5.</w:t>
      </w:r>
      <w:r w:rsidRPr="003A1FE1">
        <w:rPr>
          <w:rFonts w:ascii="Times New Roman"/>
          <w:sz w:val="24"/>
          <w:szCs w:val="24"/>
        </w:rPr>
        <w:t>指私有原住民保留地設定抵押權予他人之情形。</w:t>
      </w:r>
    </w:p>
    <w:p w:rsidR="00121031" w:rsidRPr="003A1FE1" w:rsidRDefault="00121031" w:rsidP="00121031">
      <w:pPr>
        <w:snapToGrid w:val="0"/>
        <w:ind w:leftChars="150" w:left="770" w:hangingChars="100" w:hanging="260"/>
        <w:rPr>
          <w:rFonts w:ascii="Times New Roman"/>
          <w:sz w:val="24"/>
          <w:szCs w:val="24"/>
        </w:rPr>
      </w:pPr>
      <w:r w:rsidRPr="003A1FE1">
        <w:rPr>
          <w:rFonts w:ascii="Times New Roman"/>
          <w:sz w:val="24"/>
          <w:szCs w:val="24"/>
        </w:rPr>
        <w:t>6.</w:t>
      </w:r>
      <w:r w:rsidRPr="003A1FE1">
        <w:rPr>
          <w:rFonts w:ascii="Times New Roman"/>
          <w:sz w:val="24"/>
          <w:szCs w:val="24"/>
        </w:rPr>
        <w:t>擔保債權總金額</w:t>
      </w:r>
      <w:r w:rsidRPr="003A1FE1">
        <w:rPr>
          <w:rFonts w:ascii="Times New Roman"/>
          <w:sz w:val="24"/>
          <w:szCs w:val="24"/>
        </w:rPr>
        <w:t>&gt;</w:t>
      </w:r>
      <w:r w:rsidRPr="003A1FE1">
        <w:rPr>
          <w:rFonts w:ascii="Times New Roman"/>
          <w:sz w:val="24"/>
          <w:szCs w:val="24"/>
        </w:rPr>
        <w:t>共同擔保土地公告現值總和</w:t>
      </w:r>
      <w:r w:rsidRPr="003A1FE1">
        <w:rPr>
          <w:rFonts w:ascii="Times New Roman"/>
          <w:sz w:val="24"/>
          <w:szCs w:val="24"/>
        </w:rPr>
        <w:t>1</w:t>
      </w:r>
      <w:r w:rsidRPr="003A1FE1">
        <w:rPr>
          <w:rFonts w:ascii="Times New Roman"/>
          <w:sz w:val="24"/>
          <w:szCs w:val="24"/>
        </w:rPr>
        <w:t>倍，例：公告現值總和如為</w:t>
      </w:r>
      <w:r w:rsidRPr="003A1FE1">
        <w:rPr>
          <w:rFonts w:ascii="Times New Roman"/>
          <w:sz w:val="24"/>
          <w:szCs w:val="24"/>
        </w:rPr>
        <w:t>10</w:t>
      </w:r>
      <w:r w:rsidRPr="003A1FE1">
        <w:rPr>
          <w:rFonts w:ascii="Times New Roman"/>
          <w:sz w:val="24"/>
          <w:szCs w:val="24"/>
        </w:rPr>
        <w:t>萬元，擔保債權總金額</w:t>
      </w:r>
      <w:r w:rsidRPr="003A1FE1">
        <w:rPr>
          <w:rFonts w:ascii="Times New Roman"/>
          <w:sz w:val="24"/>
          <w:szCs w:val="24"/>
        </w:rPr>
        <w:t>&gt;20</w:t>
      </w:r>
      <w:r w:rsidRPr="003A1FE1">
        <w:rPr>
          <w:rFonts w:ascii="Times New Roman"/>
          <w:sz w:val="24"/>
          <w:szCs w:val="24"/>
        </w:rPr>
        <w:t>萬。</w:t>
      </w:r>
    </w:p>
    <w:p w:rsidR="00121031" w:rsidRPr="003A1FE1" w:rsidRDefault="00121031" w:rsidP="00121031">
      <w:pPr>
        <w:snapToGrid w:val="0"/>
        <w:ind w:leftChars="150" w:left="770" w:hangingChars="100" w:hanging="260"/>
        <w:rPr>
          <w:rFonts w:ascii="Times New Roman"/>
          <w:szCs w:val="24"/>
        </w:rPr>
      </w:pPr>
      <w:r w:rsidRPr="003A1FE1">
        <w:rPr>
          <w:rFonts w:ascii="Times New Roman"/>
          <w:sz w:val="24"/>
          <w:szCs w:val="24"/>
        </w:rPr>
        <w:t>7.</w:t>
      </w:r>
      <w:r w:rsidRPr="003A1FE1">
        <w:rPr>
          <w:rFonts w:ascii="Times New Roman"/>
          <w:sz w:val="24"/>
          <w:szCs w:val="24"/>
        </w:rPr>
        <w:t>擔保債權總金額</w:t>
      </w:r>
      <w:r w:rsidRPr="003A1FE1">
        <w:rPr>
          <w:rFonts w:ascii="Times New Roman"/>
          <w:sz w:val="24"/>
          <w:szCs w:val="24"/>
        </w:rPr>
        <w:t>&gt;</w:t>
      </w:r>
      <w:r w:rsidRPr="003A1FE1">
        <w:rPr>
          <w:rFonts w:ascii="Times New Roman"/>
          <w:sz w:val="24"/>
          <w:szCs w:val="24"/>
        </w:rPr>
        <w:t>共同擔保土地公告現值總和</w:t>
      </w:r>
      <w:r w:rsidRPr="003A1FE1">
        <w:rPr>
          <w:rFonts w:ascii="Times New Roman"/>
          <w:sz w:val="24"/>
          <w:szCs w:val="24"/>
        </w:rPr>
        <w:t>2</w:t>
      </w:r>
      <w:r w:rsidRPr="003A1FE1">
        <w:rPr>
          <w:rFonts w:ascii="Times New Roman"/>
          <w:sz w:val="24"/>
          <w:szCs w:val="24"/>
        </w:rPr>
        <w:t>倍，例：公告現值總和如為</w:t>
      </w:r>
      <w:r w:rsidRPr="003A1FE1">
        <w:rPr>
          <w:rFonts w:ascii="Times New Roman"/>
          <w:sz w:val="24"/>
          <w:szCs w:val="24"/>
        </w:rPr>
        <w:t>10</w:t>
      </w:r>
      <w:r w:rsidRPr="003A1FE1">
        <w:rPr>
          <w:rFonts w:ascii="Times New Roman"/>
          <w:sz w:val="24"/>
          <w:szCs w:val="24"/>
        </w:rPr>
        <w:t>萬元，擔保債權總金額</w:t>
      </w:r>
      <w:r w:rsidRPr="003A1FE1">
        <w:rPr>
          <w:rFonts w:ascii="Times New Roman"/>
          <w:sz w:val="24"/>
          <w:szCs w:val="24"/>
        </w:rPr>
        <w:t>&gt;30</w:t>
      </w:r>
      <w:r w:rsidRPr="003A1FE1">
        <w:rPr>
          <w:rFonts w:ascii="Times New Roman"/>
          <w:sz w:val="24"/>
          <w:szCs w:val="24"/>
        </w:rPr>
        <w:t>萬。</w:t>
      </w:r>
    </w:p>
    <w:p w:rsidR="00121031" w:rsidRPr="003A1FE1" w:rsidRDefault="00121031" w:rsidP="00121031">
      <w:pPr>
        <w:pStyle w:val="3"/>
        <w:numPr>
          <w:ilvl w:val="0"/>
          <w:numId w:val="0"/>
        </w:numPr>
        <w:rPr>
          <w:rFonts w:ascii="Times New Roman" w:hAnsi="Times New Roman"/>
          <w:sz w:val="24"/>
          <w:szCs w:val="24"/>
        </w:rPr>
      </w:pPr>
      <w:r w:rsidRPr="003A1FE1">
        <w:rPr>
          <w:rFonts w:ascii="Times New Roman" w:hAnsi="Times New Roman"/>
          <w:sz w:val="24"/>
          <w:szCs w:val="24"/>
        </w:rPr>
        <w:t>資料來源：原民會。</w:t>
      </w:r>
    </w:p>
    <w:p w:rsidR="00121031" w:rsidRPr="003A1FE1" w:rsidRDefault="00121031" w:rsidP="00121031">
      <w:pPr>
        <w:pStyle w:val="3"/>
        <w:numPr>
          <w:ilvl w:val="0"/>
          <w:numId w:val="0"/>
        </w:numPr>
        <w:ind w:left="680"/>
        <w:rPr>
          <w:rFonts w:ascii="Times New Roman" w:hAnsi="Times New Roman"/>
        </w:rPr>
      </w:pPr>
    </w:p>
    <w:p w:rsidR="00121031" w:rsidRPr="003A1FE1" w:rsidRDefault="00121031" w:rsidP="00121031">
      <w:pPr>
        <w:pStyle w:val="3"/>
        <w:numPr>
          <w:ilvl w:val="0"/>
          <w:numId w:val="0"/>
        </w:numPr>
        <w:ind w:left="680"/>
        <w:rPr>
          <w:rFonts w:ascii="Times New Roman" w:hAnsi="Times New Roman"/>
        </w:rPr>
        <w:sectPr w:rsidR="00121031" w:rsidRPr="003A1FE1" w:rsidSect="00B25F84">
          <w:pgSz w:w="16840" w:h="11907" w:orient="landscape" w:code="9"/>
          <w:pgMar w:top="1418" w:right="1701" w:bottom="1418" w:left="1418" w:header="851" w:footer="851" w:gutter="227"/>
          <w:cols w:space="425"/>
          <w:docGrid w:type="linesAndChars" w:linePitch="457" w:charSpace="4127"/>
        </w:sectPr>
      </w:pPr>
    </w:p>
    <w:p w:rsidR="00121031" w:rsidRPr="003A1FE1" w:rsidRDefault="00121031" w:rsidP="00121031">
      <w:pPr>
        <w:pStyle w:val="2"/>
        <w:numPr>
          <w:ilvl w:val="1"/>
          <w:numId w:val="1"/>
        </w:numPr>
        <w:kinsoku w:val="0"/>
        <w:overflowPunct/>
        <w:autoSpaceDE/>
        <w:autoSpaceDN/>
        <w:ind w:left="1020" w:hanging="680"/>
        <w:rPr>
          <w:rFonts w:ascii="Times New Roman" w:hAnsi="Times New Roman"/>
        </w:rPr>
      </w:pPr>
      <w:r w:rsidRPr="003A1FE1">
        <w:rPr>
          <w:rFonts w:ascii="Times New Roman" w:hAnsi="Times New Roman"/>
        </w:rPr>
        <w:t>原住民保留地因違法轉租、轉讓不斷流失，最關鍵之處為原住民的經濟問題未獲改善，致使原住民因貧窮被迫違法轉讓、轉租的惡性循環不斷發生，原民會未能正視其嚴重性，且未能確實建立妥善的金融配套措施，協助原住民能在自己的土地上發展產業解決生計問題，核有違失。</w:t>
      </w:r>
    </w:p>
    <w:p w:rsidR="00121031" w:rsidRPr="003A1FE1" w:rsidRDefault="00121031" w:rsidP="00DB0327">
      <w:pPr>
        <w:pStyle w:val="3"/>
        <w:numPr>
          <w:ilvl w:val="2"/>
          <w:numId w:val="1"/>
        </w:numPr>
        <w:kinsoku w:val="0"/>
        <w:overflowPunct/>
        <w:autoSpaceDE/>
        <w:autoSpaceDN/>
        <w:spacing w:afterLines="50"/>
        <w:ind w:left="1360" w:hanging="680"/>
        <w:rPr>
          <w:rFonts w:ascii="Times New Roman" w:hAnsi="Times New Roman"/>
        </w:rPr>
      </w:pPr>
      <w:r w:rsidRPr="003A1FE1">
        <w:rPr>
          <w:rFonts w:ascii="Times New Roman" w:hAnsi="Times New Roman"/>
        </w:rPr>
        <w:t>為</w:t>
      </w:r>
      <w:r w:rsidRPr="003A1FE1">
        <w:rPr>
          <w:rFonts w:ascii="Times New Roman" w:hAnsi="Times New Roman"/>
          <w:bCs w:val="0"/>
        </w:rPr>
        <w:t>提供開創或從事經營事業之原住民業者，原民會設置有「原住民族綜合發展基金」，由該基金貸款項目籌應資金。截至</w:t>
      </w:r>
      <w:r w:rsidRPr="003A1FE1">
        <w:rPr>
          <w:rFonts w:ascii="Times New Roman" w:hAnsi="Times New Roman"/>
          <w:bCs w:val="0"/>
        </w:rPr>
        <w:t>104</w:t>
      </w:r>
      <w:r w:rsidRPr="003A1FE1">
        <w:rPr>
          <w:rFonts w:ascii="Times New Roman" w:hAnsi="Times New Roman"/>
          <w:bCs w:val="0"/>
        </w:rPr>
        <w:t>年</w:t>
      </w:r>
      <w:r w:rsidRPr="003A1FE1">
        <w:rPr>
          <w:rFonts w:ascii="Times New Roman" w:hAnsi="Times New Roman"/>
          <w:bCs w:val="0"/>
        </w:rPr>
        <w:t>10</w:t>
      </w:r>
      <w:r w:rsidRPr="003A1FE1">
        <w:rPr>
          <w:rFonts w:ascii="Times New Roman" w:hAnsi="Times New Roman"/>
          <w:bCs w:val="0"/>
        </w:rPr>
        <w:t>月底止之資產總額為新臺幣</w:t>
      </w:r>
      <w:r w:rsidRPr="003A1FE1">
        <w:rPr>
          <w:rFonts w:ascii="Times New Roman" w:hAnsi="Times New Roman"/>
          <w:bCs w:val="0"/>
        </w:rPr>
        <w:t>(</w:t>
      </w:r>
      <w:r w:rsidRPr="003A1FE1">
        <w:rPr>
          <w:rFonts w:ascii="Times New Roman" w:hAnsi="Times New Roman"/>
          <w:bCs w:val="0"/>
        </w:rPr>
        <w:t>下同</w:t>
      </w:r>
      <w:r w:rsidRPr="003A1FE1">
        <w:rPr>
          <w:rFonts w:ascii="Times New Roman" w:hAnsi="Times New Roman"/>
          <w:bCs w:val="0"/>
        </w:rPr>
        <w:t>)117</w:t>
      </w:r>
      <w:r w:rsidRPr="003A1FE1">
        <w:rPr>
          <w:rFonts w:ascii="Times New Roman" w:hAnsi="Times New Roman"/>
          <w:bCs w:val="0"/>
        </w:rPr>
        <w:t>億</w:t>
      </w:r>
      <w:r w:rsidRPr="003A1FE1">
        <w:rPr>
          <w:rFonts w:ascii="Times New Roman" w:hAnsi="Times New Roman"/>
          <w:bCs w:val="0"/>
        </w:rPr>
        <w:t>9,611</w:t>
      </w:r>
      <w:r w:rsidRPr="003A1FE1">
        <w:rPr>
          <w:rFonts w:ascii="Times New Roman" w:hAnsi="Times New Roman"/>
          <w:bCs w:val="0"/>
        </w:rPr>
        <w:t>萬餘元。其經費來源，係由原民會循預算程序，逐年編列公務預算挹注以充實基金資金。基金項下有「經濟產業貸款」、「青年創業貸款」及「原住民微型經濟活動貸款」等</w:t>
      </w:r>
      <w:r w:rsidRPr="003A1FE1">
        <w:rPr>
          <w:rFonts w:ascii="Times New Roman" w:hAnsi="Times New Roman"/>
          <w:bCs w:val="0"/>
        </w:rPr>
        <w:t>3</w:t>
      </w:r>
      <w:r w:rsidRPr="003A1FE1">
        <w:rPr>
          <w:rFonts w:ascii="Times New Roman" w:hAnsi="Times New Roman"/>
          <w:bCs w:val="0"/>
        </w:rPr>
        <w:t>類貸款，如表</w:t>
      </w:r>
      <w:r w:rsidRPr="003A1FE1">
        <w:rPr>
          <w:rFonts w:ascii="Times New Roman" w:hAnsi="Times New Roman" w:hint="eastAsia"/>
          <w:bCs w:val="0"/>
        </w:rPr>
        <w:t>7</w:t>
      </w:r>
      <w:r w:rsidRPr="003A1FE1">
        <w:rPr>
          <w:rFonts w:ascii="Times New Roman" w:hAnsi="Times New Roman"/>
          <w:bCs w:val="0"/>
        </w:rPr>
        <w:t>。並以勞務採購方式委託金融機構辦理申貸案件之徵信、審核、擔保品鑑估及設定。經辦該基金貸款業務之金融機構審理申貸案件，首重安全性，為確保債權，須於受理申貸案件時以「授信</w:t>
      </w:r>
      <w:r w:rsidRPr="003A1FE1">
        <w:rPr>
          <w:rFonts w:ascii="Times New Roman" w:hAnsi="Times New Roman"/>
          <w:bCs w:val="0"/>
        </w:rPr>
        <w:t>5P</w:t>
      </w:r>
      <w:r w:rsidRPr="003A1FE1">
        <w:rPr>
          <w:rFonts w:ascii="Times New Roman" w:hAnsi="Times New Roman"/>
          <w:bCs w:val="0"/>
        </w:rPr>
        <w:t>原則」</w:t>
      </w:r>
      <w:r w:rsidRPr="003A1FE1">
        <w:rPr>
          <w:rStyle w:val="afe"/>
          <w:rFonts w:ascii="Times New Roman" w:hAnsi="Times New Roman"/>
          <w:bCs w:val="0"/>
        </w:rPr>
        <w:footnoteReference w:id="10"/>
      </w:r>
      <w:r w:rsidRPr="003A1FE1">
        <w:rPr>
          <w:rFonts w:ascii="Times New Roman" w:hAnsi="Times New Roman"/>
          <w:bCs w:val="0"/>
        </w:rPr>
        <w:t>作為核貸與否及核貸金額之評估標準，而土地之擔保價值係以公告現值及該筆土地附近最近成交價格綜合估算其價值。</w:t>
      </w:r>
      <w:r w:rsidRPr="003A1FE1">
        <w:rPr>
          <w:rFonts w:ascii="Times New Roman" w:hAnsi="Times New Roman"/>
          <w:szCs w:val="32"/>
        </w:rPr>
        <w:t>為解決原住民因不熟稔銀行作業程序，致錯失貸款機會之問題，復為有效追蹤貸款成功後貸後還款之情形，原民會業自</w:t>
      </w:r>
      <w:r w:rsidRPr="003A1FE1">
        <w:rPr>
          <w:rFonts w:ascii="Times New Roman" w:hAnsi="Times New Roman"/>
          <w:szCs w:val="32"/>
        </w:rPr>
        <w:t>102</w:t>
      </w:r>
      <w:r w:rsidRPr="003A1FE1">
        <w:rPr>
          <w:rFonts w:ascii="Times New Roman" w:hAnsi="Times New Roman"/>
          <w:szCs w:val="32"/>
        </w:rPr>
        <w:t>年起，於各直轄市、縣（市）政府設置</w:t>
      </w:r>
      <w:r w:rsidRPr="003A1FE1">
        <w:rPr>
          <w:rFonts w:ascii="Times New Roman" w:hAnsi="Times New Roman"/>
          <w:szCs w:val="32"/>
        </w:rPr>
        <w:t>1</w:t>
      </w:r>
      <w:r w:rsidRPr="003A1FE1">
        <w:rPr>
          <w:rFonts w:ascii="Times New Roman" w:hAnsi="Times New Roman"/>
          <w:szCs w:val="32"/>
        </w:rPr>
        <w:t>名原住民族金融輔導員，專責辦理轄區原住民族融資輔導工作。本基金貸款業務自「原住民族金融輔導員」設置起，貸款件數及金額均逐年上升，且逾期放款比率亦逐年降低，顯示除放款績效逐年提高之外，借款戶之還款狀況亦呈現逐年改善之趨勢。</w:t>
      </w:r>
    </w:p>
    <w:p w:rsidR="00121031" w:rsidRPr="003A1FE1" w:rsidRDefault="00121031" w:rsidP="00121031">
      <w:pPr>
        <w:pStyle w:val="1"/>
        <w:numPr>
          <w:ilvl w:val="0"/>
          <w:numId w:val="0"/>
        </w:numPr>
        <w:ind w:left="697" w:hanging="697"/>
        <w:jc w:val="center"/>
        <w:rPr>
          <w:rFonts w:ascii="Times New Roman" w:hAnsi="Times New Roman"/>
        </w:rPr>
      </w:pPr>
      <w:r w:rsidRPr="003A1FE1">
        <w:rPr>
          <w:rFonts w:ascii="Times New Roman" w:hAnsi="Times New Roman"/>
        </w:rPr>
        <w:t>表</w:t>
      </w:r>
      <w:r w:rsidRPr="003A1FE1">
        <w:rPr>
          <w:rFonts w:ascii="Times New Roman" w:hAnsi="Times New Roman" w:hint="eastAsia"/>
        </w:rPr>
        <w:t>7</w:t>
      </w:r>
      <w:r w:rsidRPr="003A1FE1">
        <w:rPr>
          <w:rFonts w:ascii="Times New Roman" w:hAnsi="Times New Roman"/>
        </w:rPr>
        <w:t xml:space="preserve"> </w:t>
      </w:r>
      <w:r w:rsidRPr="003A1FE1">
        <w:rPr>
          <w:rFonts w:ascii="Times New Roman" w:hAnsi="Times New Roman"/>
        </w:rPr>
        <w:t>原住民族綜合發展基金各項貸款內容重點彙整</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118"/>
        <w:gridCol w:w="2126"/>
        <w:gridCol w:w="2715"/>
      </w:tblGrid>
      <w:tr w:rsidR="003A1FE1" w:rsidRPr="003A1FE1" w:rsidTr="00B25F84">
        <w:trPr>
          <w:jc w:val="center"/>
        </w:trPr>
        <w:tc>
          <w:tcPr>
            <w:tcW w:w="851" w:type="dxa"/>
            <w:shd w:val="clear" w:color="auto" w:fill="auto"/>
            <w:vAlign w:val="center"/>
          </w:tcPr>
          <w:p w:rsidR="00121031" w:rsidRPr="003A1FE1" w:rsidRDefault="00121031" w:rsidP="00B25F84">
            <w:pPr>
              <w:pStyle w:val="1"/>
              <w:numPr>
                <w:ilvl w:val="0"/>
                <w:numId w:val="0"/>
              </w:numPr>
              <w:jc w:val="center"/>
              <w:rPr>
                <w:rFonts w:ascii="Times New Roman" w:hAnsi="Times New Roman"/>
                <w:sz w:val="28"/>
                <w:szCs w:val="28"/>
              </w:rPr>
            </w:pPr>
            <w:r w:rsidRPr="003A1FE1">
              <w:rPr>
                <w:rFonts w:ascii="Times New Roman" w:hAnsi="Times New Roman"/>
                <w:sz w:val="28"/>
                <w:szCs w:val="28"/>
              </w:rPr>
              <w:t>項目</w:t>
            </w:r>
          </w:p>
        </w:tc>
        <w:tc>
          <w:tcPr>
            <w:tcW w:w="3118" w:type="dxa"/>
            <w:shd w:val="clear" w:color="auto" w:fill="auto"/>
            <w:vAlign w:val="center"/>
          </w:tcPr>
          <w:p w:rsidR="00121031" w:rsidRPr="003A1FE1" w:rsidRDefault="00121031" w:rsidP="00B25F84">
            <w:pPr>
              <w:pStyle w:val="1"/>
              <w:numPr>
                <w:ilvl w:val="0"/>
                <w:numId w:val="0"/>
              </w:numPr>
              <w:jc w:val="center"/>
              <w:rPr>
                <w:rFonts w:ascii="Times New Roman" w:hAnsi="Times New Roman"/>
                <w:sz w:val="28"/>
                <w:szCs w:val="28"/>
              </w:rPr>
            </w:pPr>
            <w:r w:rsidRPr="003A1FE1">
              <w:rPr>
                <w:rFonts w:ascii="Times New Roman" w:hAnsi="Times New Roman"/>
                <w:sz w:val="28"/>
                <w:szCs w:val="28"/>
              </w:rPr>
              <w:t>經濟產業貸款</w:t>
            </w:r>
          </w:p>
        </w:tc>
        <w:tc>
          <w:tcPr>
            <w:tcW w:w="2126" w:type="dxa"/>
            <w:shd w:val="clear" w:color="auto" w:fill="auto"/>
            <w:vAlign w:val="center"/>
          </w:tcPr>
          <w:p w:rsidR="00121031" w:rsidRPr="003A1FE1" w:rsidRDefault="00121031" w:rsidP="00B25F84">
            <w:pPr>
              <w:pStyle w:val="1"/>
              <w:numPr>
                <w:ilvl w:val="0"/>
                <w:numId w:val="0"/>
              </w:numPr>
              <w:jc w:val="center"/>
              <w:rPr>
                <w:rFonts w:ascii="Times New Roman" w:hAnsi="Times New Roman"/>
                <w:sz w:val="28"/>
                <w:szCs w:val="28"/>
              </w:rPr>
            </w:pPr>
            <w:r w:rsidRPr="003A1FE1">
              <w:rPr>
                <w:rFonts w:ascii="Times New Roman" w:hAnsi="Times New Roman"/>
                <w:sz w:val="28"/>
                <w:szCs w:val="28"/>
              </w:rPr>
              <w:t>青年創業貸款</w:t>
            </w:r>
          </w:p>
        </w:tc>
        <w:tc>
          <w:tcPr>
            <w:tcW w:w="2715" w:type="dxa"/>
            <w:shd w:val="clear" w:color="auto" w:fill="auto"/>
            <w:vAlign w:val="center"/>
          </w:tcPr>
          <w:p w:rsidR="00121031" w:rsidRPr="003A1FE1" w:rsidRDefault="00121031" w:rsidP="00B25F84">
            <w:pPr>
              <w:pStyle w:val="1"/>
              <w:numPr>
                <w:ilvl w:val="0"/>
                <w:numId w:val="0"/>
              </w:numPr>
              <w:jc w:val="center"/>
              <w:rPr>
                <w:rFonts w:ascii="Times New Roman" w:hAnsi="Times New Roman"/>
                <w:sz w:val="28"/>
                <w:szCs w:val="28"/>
              </w:rPr>
            </w:pPr>
            <w:r w:rsidRPr="003A1FE1">
              <w:rPr>
                <w:rFonts w:ascii="Times New Roman" w:hAnsi="Times New Roman"/>
                <w:sz w:val="28"/>
                <w:szCs w:val="28"/>
              </w:rPr>
              <w:t>原住民微型</w:t>
            </w:r>
          </w:p>
          <w:p w:rsidR="00121031" w:rsidRPr="003A1FE1" w:rsidRDefault="00121031" w:rsidP="00B25F84">
            <w:pPr>
              <w:pStyle w:val="1"/>
              <w:numPr>
                <w:ilvl w:val="0"/>
                <w:numId w:val="0"/>
              </w:numPr>
              <w:jc w:val="center"/>
              <w:rPr>
                <w:rFonts w:ascii="Times New Roman" w:hAnsi="Times New Roman"/>
                <w:sz w:val="28"/>
                <w:szCs w:val="28"/>
              </w:rPr>
            </w:pPr>
            <w:r w:rsidRPr="003A1FE1">
              <w:rPr>
                <w:rFonts w:ascii="Times New Roman" w:hAnsi="Times New Roman"/>
                <w:sz w:val="28"/>
                <w:szCs w:val="28"/>
              </w:rPr>
              <w:t>經濟活動貸款</w:t>
            </w:r>
          </w:p>
          <w:p w:rsidR="00121031" w:rsidRPr="003A1FE1" w:rsidRDefault="00121031" w:rsidP="00B25F84">
            <w:pPr>
              <w:pStyle w:val="1"/>
              <w:numPr>
                <w:ilvl w:val="0"/>
                <w:numId w:val="0"/>
              </w:numPr>
              <w:jc w:val="center"/>
              <w:rPr>
                <w:rFonts w:ascii="Times New Roman" w:hAnsi="Times New Roman"/>
                <w:sz w:val="28"/>
                <w:szCs w:val="28"/>
              </w:rPr>
            </w:pPr>
            <w:r w:rsidRPr="003A1FE1">
              <w:rPr>
                <w:rFonts w:ascii="Times New Roman" w:hAnsi="Times New Roman"/>
                <w:bCs w:val="0"/>
                <w:sz w:val="28"/>
                <w:szCs w:val="28"/>
              </w:rPr>
              <w:t>(</w:t>
            </w:r>
            <w:r w:rsidRPr="003A1FE1">
              <w:rPr>
                <w:rFonts w:ascii="Times New Roman" w:hAnsi="Times New Roman"/>
                <w:bCs w:val="0"/>
                <w:sz w:val="28"/>
                <w:szCs w:val="28"/>
              </w:rPr>
              <w:t>微笑貸</w:t>
            </w:r>
            <w:r w:rsidRPr="003A1FE1">
              <w:rPr>
                <w:rFonts w:ascii="Times New Roman" w:hAnsi="Times New Roman"/>
                <w:bCs w:val="0"/>
                <w:sz w:val="28"/>
                <w:szCs w:val="28"/>
              </w:rPr>
              <w:t>)</w:t>
            </w:r>
          </w:p>
        </w:tc>
      </w:tr>
      <w:tr w:rsidR="003A1FE1" w:rsidRPr="003A1FE1" w:rsidTr="00B25F84">
        <w:trPr>
          <w:jc w:val="center"/>
        </w:trPr>
        <w:tc>
          <w:tcPr>
            <w:tcW w:w="851" w:type="dxa"/>
            <w:shd w:val="clear" w:color="auto" w:fill="auto"/>
            <w:vAlign w:val="center"/>
          </w:tcPr>
          <w:p w:rsidR="00121031" w:rsidRPr="003A1FE1" w:rsidRDefault="00121031" w:rsidP="00B25F84">
            <w:pPr>
              <w:pStyle w:val="1"/>
              <w:numPr>
                <w:ilvl w:val="0"/>
                <w:numId w:val="0"/>
              </w:numPr>
              <w:jc w:val="center"/>
              <w:rPr>
                <w:rFonts w:ascii="Times New Roman" w:hAnsi="Times New Roman"/>
                <w:sz w:val="28"/>
                <w:szCs w:val="28"/>
              </w:rPr>
            </w:pPr>
            <w:r w:rsidRPr="003A1FE1">
              <w:rPr>
                <w:rFonts w:ascii="Times New Roman" w:hAnsi="Times New Roman"/>
                <w:sz w:val="28"/>
                <w:szCs w:val="28"/>
              </w:rPr>
              <w:t>貸放</w:t>
            </w:r>
          </w:p>
          <w:p w:rsidR="00121031" w:rsidRPr="003A1FE1" w:rsidRDefault="00121031" w:rsidP="00B25F84">
            <w:pPr>
              <w:pStyle w:val="1"/>
              <w:numPr>
                <w:ilvl w:val="0"/>
                <w:numId w:val="0"/>
              </w:numPr>
              <w:jc w:val="center"/>
              <w:rPr>
                <w:rFonts w:ascii="Times New Roman" w:hAnsi="Times New Roman"/>
                <w:sz w:val="28"/>
                <w:szCs w:val="28"/>
              </w:rPr>
            </w:pPr>
            <w:r w:rsidRPr="003A1FE1">
              <w:rPr>
                <w:rFonts w:ascii="Times New Roman" w:hAnsi="Times New Roman"/>
                <w:sz w:val="28"/>
                <w:szCs w:val="28"/>
              </w:rPr>
              <w:t>資格</w:t>
            </w:r>
          </w:p>
        </w:tc>
        <w:tc>
          <w:tcPr>
            <w:tcW w:w="3118" w:type="dxa"/>
            <w:shd w:val="clear" w:color="auto" w:fill="auto"/>
          </w:tcPr>
          <w:p w:rsidR="00121031" w:rsidRPr="003A1FE1" w:rsidRDefault="00121031" w:rsidP="00121031">
            <w:pPr>
              <w:pStyle w:val="1"/>
              <w:numPr>
                <w:ilvl w:val="0"/>
                <w:numId w:val="0"/>
              </w:numPr>
              <w:ind w:firstLineChars="13" w:firstLine="39"/>
              <w:rPr>
                <w:rFonts w:ascii="Times New Roman" w:hAnsi="Times New Roman"/>
                <w:sz w:val="28"/>
                <w:szCs w:val="28"/>
              </w:rPr>
            </w:pPr>
            <w:r w:rsidRPr="003A1FE1">
              <w:rPr>
                <w:rFonts w:ascii="Times New Roman" w:hAnsi="Times New Roman"/>
                <w:sz w:val="28"/>
                <w:szCs w:val="28"/>
              </w:rPr>
              <w:t>年滿</w:t>
            </w:r>
            <w:r w:rsidRPr="003A1FE1">
              <w:rPr>
                <w:rFonts w:ascii="Times New Roman" w:hAnsi="Times New Roman"/>
                <w:sz w:val="28"/>
                <w:szCs w:val="28"/>
              </w:rPr>
              <w:t>20</w:t>
            </w:r>
            <w:r w:rsidRPr="003A1FE1">
              <w:rPr>
                <w:rFonts w:ascii="Times New Roman" w:hAnsi="Times New Roman"/>
                <w:sz w:val="28"/>
                <w:szCs w:val="28"/>
              </w:rPr>
              <w:t>歲至</w:t>
            </w:r>
            <w:r w:rsidRPr="003A1FE1">
              <w:rPr>
                <w:rFonts w:ascii="Times New Roman" w:hAnsi="Times New Roman"/>
                <w:sz w:val="28"/>
                <w:szCs w:val="28"/>
              </w:rPr>
              <w:t>65</w:t>
            </w:r>
            <w:r w:rsidRPr="003A1FE1">
              <w:rPr>
                <w:rFonts w:ascii="Times New Roman" w:hAnsi="Times New Roman"/>
                <w:sz w:val="28"/>
                <w:szCs w:val="28"/>
              </w:rPr>
              <w:t>歲本國籍之原住民，於申請前</w:t>
            </w:r>
            <w:r w:rsidRPr="003A1FE1">
              <w:rPr>
                <w:rFonts w:ascii="Times New Roman" w:hAnsi="Times New Roman"/>
                <w:sz w:val="28"/>
                <w:szCs w:val="28"/>
              </w:rPr>
              <w:t>3</w:t>
            </w:r>
            <w:r w:rsidRPr="003A1FE1">
              <w:rPr>
                <w:rFonts w:ascii="Times New Roman" w:hAnsi="Times New Roman"/>
                <w:sz w:val="28"/>
                <w:szCs w:val="28"/>
              </w:rPr>
              <w:t>年內曾參加政府機關及相關單位所舉辦之創業輔導課程或創業相關活動至少</w:t>
            </w:r>
            <w:r w:rsidRPr="003A1FE1">
              <w:rPr>
                <w:rFonts w:ascii="Times New Roman" w:hAnsi="Times New Roman"/>
                <w:sz w:val="28"/>
                <w:szCs w:val="28"/>
              </w:rPr>
              <w:t>20</w:t>
            </w:r>
            <w:r w:rsidRPr="003A1FE1">
              <w:rPr>
                <w:rFonts w:ascii="Times New Roman" w:hAnsi="Times New Roman"/>
                <w:sz w:val="28"/>
                <w:szCs w:val="28"/>
              </w:rPr>
              <w:t>小時或</w:t>
            </w:r>
            <w:r w:rsidRPr="003A1FE1">
              <w:rPr>
                <w:rFonts w:ascii="Times New Roman" w:hAnsi="Times New Roman"/>
                <w:sz w:val="28"/>
                <w:szCs w:val="28"/>
              </w:rPr>
              <w:t>2</w:t>
            </w:r>
            <w:r w:rsidRPr="003A1FE1">
              <w:rPr>
                <w:rFonts w:ascii="Times New Roman" w:hAnsi="Times New Roman"/>
                <w:sz w:val="28"/>
                <w:szCs w:val="28"/>
              </w:rPr>
              <w:t>學分以上並有經營事實者。</w:t>
            </w:r>
          </w:p>
        </w:tc>
        <w:tc>
          <w:tcPr>
            <w:tcW w:w="2126" w:type="dxa"/>
            <w:shd w:val="clear" w:color="auto" w:fill="auto"/>
          </w:tcPr>
          <w:p w:rsidR="00121031" w:rsidRPr="003A1FE1" w:rsidRDefault="00121031" w:rsidP="00121031">
            <w:pPr>
              <w:pStyle w:val="1"/>
              <w:numPr>
                <w:ilvl w:val="0"/>
                <w:numId w:val="0"/>
              </w:numPr>
              <w:ind w:firstLineChars="13" w:firstLine="39"/>
              <w:rPr>
                <w:rFonts w:ascii="Times New Roman" w:hAnsi="Times New Roman"/>
                <w:sz w:val="28"/>
                <w:szCs w:val="28"/>
              </w:rPr>
            </w:pPr>
            <w:r w:rsidRPr="003A1FE1">
              <w:rPr>
                <w:rFonts w:ascii="Times New Roman" w:hAnsi="Times New Roman"/>
                <w:sz w:val="28"/>
                <w:szCs w:val="28"/>
              </w:rPr>
              <w:t>年滿</w:t>
            </w:r>
            <w:r w:rsidRPr="003A1FE1">
              <w:rPr>
                <w:rFonts w:ascii="Times New Roman" w:hAnsi="Times New Roman"/>
                <w:sz w:val="28"/>
                <w:szCs w:val="28"/>
              </w:rPr>
              <w:t>20</w:t>
            </w:r>
            <w:r w:rsidRPr="003A1FE1">
              <w:rPr>
                <w:rFonts w:ascii="Times New Roman" w:hAnsi="Times New Roman"/>
                <w:sz w:val="28"/>
                <w:szCs w:val="28"/>
              </w:rPr>
              <w:t>歲至</w:t>
            </w:r>
            <w:r w:rsidRPr="003A1FE1">
              <w:rPr>
                <w:rFonts w:ascii="Times New Roman" w:hAnsi="Times New Roman"/>
                <w:sz w:val="28"/>
                <w:szCs w:val="28"/>
              </w:rPr>
              <w:t>45</w:t>
            </w:r>
            <w:r w:rsidRPr="003A1FE1">
              <w:rPr>
                <w:rFonts w:ascii="Times New Roman" w:hAnsi="Times New Roman"/>
                <w:sz w:val="28"/>
                <w:szCs w:val="28"/>
              </w:rPr>
              <w:t>歲之本國籍之原住民，於申請前</w:t>
            </w:r>
            <w:r w:rsidRPr="003A1FE1">
              <w:rPr>
                <w:rFonts w:ascii="Times New Roman" w:hAnsi="Times New Roman"/>
                <w:sz w:val="28"/>
                <w:szCs w:val="28"/>
              </w:rPr>
              <w:t>3</w:t>
            </w:r>
            <w:r w:rsidRPr="003A1FE1">
              <w:rPr>
                <w:rFonts w:ascii="Times New Roman" w:hAnsi="Times New Roman"/>
                <w:sz w:val="28"/>
                <w:szCs w:val="28"/>
              </w:rPr>
              <w:t>年內曾參加政府機關及相關單位所舉辦之創業輔導課程或創業相關活動至少</w:t>
            </w:r>
            <w:r w:rsidRPr="003A1FE1">
              <w:rPr>
                <w:rFonts w:ascii="Times New Roman" w:hAnsi="Times New Roman"/>
                <w:sz w:val="28"/>
                <w:szCs w:val="28"/>
              </w:rPr>
              <w:t>20</w:t>
            </w:r>
            <w:r w:rsidRPr="003A1FE1">
              <w:rPr>
                <w:rFonts w:ascii="Times New Roman" w:hAnsi="Times New Roman"/>
                <w:sz w:val="28"/>
                <w:szCs w:val="28"/>
              </w:rPr>
              <w:t>小時或</w:t>
            </w:r>
            <w:r w:rsidRPr="003A1FE1">
              <w:rPr>
                <w:rFonts w:ascii="Times New Roman" w:hAnsi="Times New Roman"/>
                <w:sz w:val="28"/>
                <w:szCs w:val="28"/>
              </w:rPr>
              <w:t>2</w:t>
            </w:r>
            <w:r w:rsidRPr="003A1FE1">
              <w:rPr>
                <w:rFonts w:ascii="Times New Roman" w:hAnsi="Times New Roman"/>
                <w:sz w:val="28"/>
                <w:szCs w:val="28"/>
              </w:rPr>
              <w:t>學分以上者，得申辦青年創業貸款之準備金及開辦費。</w:t>
            </w:r>
          </w:p>
        </w:tc>
        <w:tc>
          <w:tcPr>
            <w:tcW w:w="2715" w:type="dxa"/>
            <w:shd w:val="clear" w:color="auto" w:fill="auto"/>
          </w:tcPr>
          <w:p w:rsidR="00121031" w:rsidRPr="003A1FE1" w:rsidRDefault="00121031" w:rsidP="00121031">
            <w:pPr>
              <w:pStyle w:val="1"/>
              <w:numPr>
                <w:ilvl w:val="0"/>
                <w:numId w:val="0"/>
              </w:numPr>
              <w:ind w:left="300" w:hangingChars="100" w:hanging="300"/>
              <w:rPr>
                <w:rFonts w:ascii="Times New Roman" w:hAnsi="Times New Roman"/>
                <w:sz w:val="28"/>
                <w:szCs w:val="28"/>
              </w:rPr>
            </w:pPr>
            <w:r w:rsidRPr="003A1FE1">
              <w:rPr>
                <w:rFonts w:ascii="Times New Roman" w:hAnsi="Times New Roman"/>
                <w:sz w:val="28"/>
                <w:szCs w:val="28"/>
              </w:rPr>
              <w:t>1.</w:t>
            </w:r>
            <w:r w:rsidRPr="003A1FE1">
              <w:rPr>
                <w:rFonts w:ascii="Times New Roman" w:hAnsi="Times New Roman"/>
                <w:sz w:val="28"/>
                <w:szCs w:val="28"/>
              </w:rPr>
              <w:t>生產用途：經營農林、漁牧或工商業者，其資格應符合微笑貸要點附表之規定。</w:t>
            </w:r>
          </w:p>
          <w:p w:rsidR="00121031" w:rsidRPr="003A1FE1" w:rsidRDefault="00121031" w:rsidP="00121031">
            <w:pPr>
              <w:pStyle w:val="1"/>
              <w:numPr>
                <w:ilvl w:val="0"/>
                <w:numId w:val="0"/>
              </w:numPr>
              <w:ind w:firstLineChars="13" w:firstLine="39"/>
              <w:rPr>
                <w:rFonts w:ascii="Times New Roman" w:hAnsi="Times New Roman"/>
                <w:sz w:val="28"/>
                <w:szCs w:val="28"/>
              </w:rPr>
            </w:pPr>
            <w:r w:rsidRPr="003A1FE1">
              <w:rPr>
                <w:rFonts w:ascii="Times New Roman" w:hAnsi="Times New Roman"/>
                <w:sz w:val="28"/>
                <w:szCs w:val="28"/>
              </w:rPr>
              <w:t>2.</w:t>
            </w:r>
            <w:r w:rsidRPr="003A1FE1">
              <w:rPr>
                <w:rFonts w:ascii="Times New Roman" w:hAnsi="Times New Roman"/>
                <w:sz w:val="28"/>
                <w:szCs w:val="28"/>
              </w:rPr>
              <w:t>消費與週轉用途</w:t>
            </w:r>
          </w:p>
          <w:p w:rsidR="00121031" w:rsidRPr="003A1FE1" w:rsidRDefault="00121031" w:rsidP="00121031">
            <w:pPr>
              <w:pStyle w:val="1"/>
              <w:numPr>
                <w:ilvl w:val="0"/>
                <w:numId w:val="0"/>
              </w:numPr>
              <w:ind w:left="450" w:hangingChars="150" w:hanging="450"/>
              <w:rPr>
                <w:rFonts w:ascii="Times New Roman" w:hAnsi="Times New Roman"/>
                <w:sz w:val="28"/>
                <w:szCs w:val="28"/>
              </w:rPr>
            </w:pPr>
            <w:r w:rsidRPr="003A1FE1">
              <w:rPr>
                <w:rFonts w:ascii="Times New Roman" w:hAnsi="Times New Roman"/>
                <w:sz w:val="28"/>
                <w:szCs w:val="28"/>
              </w:rPr>
              <w:t>(1)</w:t>
            </w:r>
            <w:r w:rsidRPr="003A1FE1">
              <w:rPr>
                <w:rFonts w:ascii="Times New Roman" w:hAnsi="Times New Roman"/>
                <w:sz w:val="28"/>
                <w:szCs w:val="28"/>
              </w:rPr>
              <w:t>從事農林、漁牧或工商業之在職勞工，最近</w:t>
            </w:r>
            <w:r w:rsidRPr="003A1FE1">
              <w:rPr>
                <w:rFonts w:ascii="Times New Roman" w:hAnsi="Times New Roman"/>
                <w:sz w:val="28"/>
                <w:szCs w:val="28"/>
              </w:rPr>
              <w:t>6</w:t>
            </w:r>
            <w:r w:rsidRPr="003A1FE1">
              <w:rPr>
                <w:rFonts w:ascii="Times New Roman" w:hAnsi="Times New Roman"/>
                <w:sz w:val="28"/>
                <w:szCs w:val="28"/>
              </w:rPr>
              <w:t>個月內保險年資（含農保、勞保及漁保）達</w:t>
            </w:r>
            <w:r w:rsidRPr="003A1FE1">
              <w:rPr>
                <w:rFonts w:ascii="Times New Roman" w:hAnsi="Times New Roman"/>
                <w:sz w:val="28"/>
                <w:szCs w:val="28"/>
              </w:rPr>
              <w:t>5</w:t>
            </w:r>
            <w:r w:rsidRPr="003A1FE1">
              <w:rPr>
                <w:rFonts w:ascii="Times New Roman" w:hAnsi="Times New Roman"/>
                <w:sz w:val="28"/>
                <w:szCs w:val="28"/>
              </w:rPr>
              <w:t>個月以上，或最近</w:t>
            </w:r>
            <w:r w:rsidRPr="003A1FE1">
              <w:rPr>
                <w:rFonts w:ascii="Times New Roman" w:hAnsi="Times New Roman"/>
                <w:sz w:val="28"/>
                <w:szCs w:val="28"/>
              </w:rPr>
              <w:t>12</w:t>
            </w:r>
            <w:r w:rsidRPr="003A1FE1">
              <w:rPr>
                <w:rFonts w:ascii="Times New Roman" w:hAnsi="Times New Roman"/>
                <w:sz w:val="28"/>
                <w:szCs w:val="28"/>
              </w:rPr>
              <w:t>個月內保險年資達</w:t>
            </w:r>
            <w:r w:rsidRPr="003A1FE1">
              <w:rPr>
                <w:rFonts w:ascii="Times New Roman" w:hAnsi="Times New Roman"/>
                <w:sz w:val="28"/>
                <w:szCs w:val="28"/>
              </w:rPr>
              <w:t>10</w:t>
            </w:r>
            <w:r w:rsidRPr="003A1FE1">
              <w:rPr>
                <w:rFonts w:ascii="Times New Roman" w:hAnsi="Times New Roman"/>
                <w:sz w:val="28"/>
                <w:szCs w:val="28"/>
              </w:rPr>
              <w:t>個月以上者。</w:t>
            </w:r>
          </w:p>
          <w:p w:rsidR="00121031" w:rsidRPr="003A1FE1" w:rsidRDefault="00121031" w:rsidP="00121031">
            <w:pPr>
              <w:pStyle w:val="1"/>
              <w:numPr>
                <w:ilvl w:val="0"/>
                <w:numId w:val="0"/>
              </w:numPr>
              <w:ind w:left="450" w:hangingChars="150" w:hanging="450"/>
              <w:rPr>
                <w:rFonts w:ascii="Times New Roman" w:hAnsi="Times New Roman"/>
                <w:sz w:val="28"/>
                <w:szCs w:val="28"/>
              </w:rPr>
            </w:pPr>
            <w:r w:rsidRPr="003A1FE1">
              <w:rPr>
                <w:rFonts w:ascii="Times New Roman" w:hAnsi="Times New Roman"/>
                <w:sz w:val="28"/>
                <w:szCs w:val="28"/>
              </w:rPr>
              <w:t>(2)</w:t>
            </w:r>
            <w:r w:rsidRPr="003A1FE1">
              <w:rPr>
                <w:rFonts w:ascii="Times New Roman" w:hAnsi="Times New Roman"/>
                <w:sz w:val="28"/>
                <w:szCs w:val="28"/>
              </w:rPr>
              <w:t>軍公教在職人員。</w:t>
            </w:r>
          </w:p>
        </w:tc>
      </w:tr>
      <w:tr w:rsidR="003A1FE1" w:rsidRPr="003A1FE1" w:rsidTr="00B25F84">
        <w:trPr>
          <w:jc w:val="center"/>
        </w:trPr>
        <w:tc>
          <w:tcPr>
            <w:tcW w:w="851" w:type="dxa"/>
            <w:shd w:val="clear" w:color="auto" w:fill="auto"/>
            <w:vAlign w:val="center"/>
          </w:tcPr>
          <w:p w:rsidR="00121031" w:rsidRPr="003A1FE1" w:rsidRDefault="00121031" w:rsidP="00121031">
            <w:pPr>
              <w:pStyle w:val="1"/>
              <w:numPr>
                <w:ilvl w:val="0"/>
                <w:numId w:val="0"/>
              </w:numPr>
              <w:ind w:firstLineChars="3" w:firstLine="9"/>
              <w:jc w:val="center"/>
              <w:rPr>
                <w:rFonts w:ascii="Times New Roman" w:hAnsi="Times New Roman"/>
                <w:sz w:val="28"/>
                <w:szCs w:val="28"/>
              </w:rPr>
            </w:pPr>
            <w:r w:rsidRPr="003A1FE1">
              <w:rPr>
                <w:rFonts w:ascii="Times New Roman" w:hAnsi="Times New Roman"/>
                <w:sz w:val="28"/>
                <w:szCs w:val="28"/>
              </w:rPr>
              <w:t>擔保</w:t>
            </w:r>
          </w:p>
          <w:p w:rsidR="00121031" w:rsidRPr="003A1FE1" w:rsidRDefault="00121031" w:rsidP="00121031">
            <w:pPr>
              <w:pStyle w:val="1"/>
              <w:numPr>
                <w:ilvl w:val="0"/>
                <w:numId w:val="0"/>
              </w:numPr>
              <w:ind w:firstLineChars="3" w:firstLine="9"/>
              <w:jc w:val="center"/>
              <w:rPr>
                <w:rFonts w:ascii="Times New Roman" w:hAnsi="Times New Roman"/>
                <w:sz w:val="28"/>
                <w:szCs w:val="28"/>
              </w:rPr>
            </w:pPr>
            <w:r w:rsidRPr="003A1FE1">
              <w:rPr>
                <w:rFonts w:ascii="Times New Roman" w:hAnsi="Times New Roman"/>
                <w:sz w:val="28"/>
                <w:szCs w:val="28"/>
              </w:rPr>
              <w:t>門檻</w:t>
            </w:r>
          </w:p>
        </w:tc>
        <w:tc>
          <w:tcPr>
            <w:tcW w:w="3118" w:type="dxa"/>
            <w:shd w:val="clear" w:color="auto" w:fill="auto"/>
          </w:tcPr>
          <w:p w:rsidR="00121031" w:rsidRPr="003A1FE1" w:rsidRDefault="00121031" w:rsidP="00B25F84">
            <w:pPr>
              <w:pStyle w:val="1"/>
              <w:numPr>
                <w:ilvl w:val="0"/>
                <w:numId w:val="0"/>
              </w:numPr>
              <w:rPr>
                <w:rFonts w:ascii="Times New Roman" w:hAnsi="Times New Roman"/>
                <w:sz w:val="28"/>
                <w:szCs w:val="28"/>
              </w:rPr>
            </w:pPr>
            <w:r w:rsidRPr="003A1FE1">
              <w:rPr>
                <w:rFonts w:ascii="Times New Roman" w:hAnsi="Times New Roman"/>
                <w:sz w:val="28"/>
                <w:szCs w:val="28"/>
              </w:rPr>
              <w:t>借款人應供十足擔保品；無則應覓具殷實連帶保證人</w:t>
            </w:r>
            <w:r w:rsidRPr="003A1FE1">
              <w:rPr>
                <w:rFonts w:ascii="Times New Roman" w:hAnsi="Times New Roman"/>
                <w:sz w:val="28"/>
                <w:szCs w:val="28"/>
              </w:rPr>
              <w:t>2</w:t>
            </w:r>
            <w:r w:rsidRPr="003A1FE1">
              <w:rPr>
                <w:rFonts w:ascii="Times New Roman" w:hAnsi="Times New Roman"/>
                <w:sz w:val="28"/>
                <w:szCs w:val="28"/>
              </w:rPr>
              <w:t>人。</w:t>
            </w:r>
          </w:p>
          <w:p w:rsidR="00121031" w:rsidRPr="003A1FE1" w:rsidRDefault="00121031" w:rsidP="00B25F84">
            <w:pPr>
              <w:pStyle w:val="1"/>
              <w:numPr>
                <w:ilvl w:val="0"/>
                <w:numId w:val="0"/>
              </w:numPr>
              <w:rPr>
                <w:rFonts w:ascii="Times New Roman" w:hAnsi="Times New Roman"/>
                <w:sz w:val="28"/>
                <w:szCs w:val="28"/>
              </w:rPr>
            </w:pPr>
            <w:r w:rsidRPr="003A1FE1">
              <w:rPr>
                <w:rFonts w:ascii="Times New Roman" w:hAnsi="Times New Roman"/>
                <w:sz w:val="28"/>
                <w:szCs w:val="28"/>
              </w:rPr>
              <w:t>連帶保證人應具有代償能力或其每月固定收益之</w:t>
            </w:r>
            <w:r w:rsidRPr="003A1FE1">
              <w:rPr>
                <w:rFonts w:ascii="Times New Roman" w:hAnsi="Times New Roman"/>
                <w:sz w:val="28"/>
                <w:szCs w:val="28"/>
              </w:rPr>
              <w:t>3/4</w:t>
            </w:r>
            <w:r w:rsidRPr="003A1FE1">
              <w:rPr>
                <w:rFonts w:ascii="Times New Roman" w:hAnsi="Times New Roman"/>
                <w:sz w:val="28"/>
                <w:szCs w:val="28"/>
              </w:rPr>
              <w:t>達借款人每月應攤還本金及利息總額。</w:t>
            </w:r>
          </w:p>
          <w:p w:rsidR="00121031" w:rsidRPr="003A1FE1" w:rsidRDefault="00121031" w:rsidP="00B25F84">
            <w:pPr>
              <w:pStyle w:val="1"/>
              <w:numPr>
                <w:ilvl w:val="0"/>
                <w:numId w:val="0"/>
              </w:numPr>
              <w:rPr>
                <w:rFonts w:ascii="Times New Roman" w:hAnsi="Times New Roman"/>
                <w:sz w:val="28"/>
                <w:szCs w:val="28"/>
              </w:rPr>
            </w:pPr>
            <w:r w:rsidRPr="003A1FE1">
              <w:rPr>
                <w:rFonts w:ascii="Times New Roman" w:hAnsi="Times New Roman"/>
                <w:sz w:val="28"/>
                <w:szCs w:val="28"/>
              </w:rPr>
              <w:t>申貸本貸款之歸戶金額於</w:t>
            </w:r>
            <w:r w:rsidRPr="003A1FE1">
              <w:rPr>
                <w:rFonts w:ascii="Times New Roman" w:hAnsi="Times New Roman"/>
                <w:sz w:val="28"/>
                <w:szCs w:val="28"/>
              </w:rPr>
              <w:t>100</w:t>
            </w:r>
            <w:r w:rsidRPr="003A1FE1">
              <w:rPr>
                <w:rFonts w:ascii="Times New Roman" w:hAnsi="Times New Roman"/>
                <w:sz w:val="28"/>
                <w:szCs w:val="28"/>
              </w:rPr>
              <w:t>萬元以下者，或曾獲原民會、中小企業創新育成中心或其他政府專案計畫所輔導培育之企業，且申貸本貸款之歸戶金額於</w:t>
            </w:r>
            <w:r w:rsidRPr="003A1FE1">
              <w:rPr>
                <w:rFonts w:ascii="Times New Roman" w:hAnsi="Times New Roman"/>
                <w:sz w:val="28"/>
                <w:szCs w:val="28"/>
              </w:rPr>
              <w:t>200</w:t>
            </w:r>
            <w:r w:rsidRPr="003A1FE1">
              <w:rPr>
                <w:rFonts w:ascii="Times New Roman" w:hAnsi="Times New Roman"/>
                <w:sz w:val="28"/>
                <w:szCs w:val="28"/>
              </w:rPr>
              <w:t>萬元以下者，不受前</w:t>
            </w:r>
            <w:r w:rsidRPr="003A1FE1">
              <w:rPr>
                <w:rFonts w:ascii="Times New Roman" w:hAnsi="Times New Roman"/>
                <w:sz w:val="28"/>
                <w:szCs w:val="28"/>
              </w:rPr>
              <w:t>2</w:t>
            </w:r>
            <w:r w:rsidRPr="003A1FE1">
              <w:rPr>
                <w:rFonts w:ascii="Times New Roman" w:hAnsi="Times New Roman"/>
                <w:sz w:val="28"/>
                <w:szCs w:val="28"/>
              </w:rPr>
              <w:t>項之限制。</w:t>
            </w:r>
          </w:p>
        </w:tc>
        <w:tc>
          <w:tcPr>
            <w:tcW w:w="2126" w:type="dxa"/>
            <w:shd w:val="clear" w:color="auto" w:fill="auto"/>
          </w:tcPr>
          <w:p w:rsidR="00121031" w:rsidRPr="003A1FE1" w:rsidRDefault="00121031" w:rsidP="00B25F84">
            <w:pPr>
              <w:pStyle w:val="1"/>
              <w:numPr>
                <w:ilvl w:val="0"/>
                <w:numId w:val="0"/>
              </w:numPr>
              <w:jc w:val="left"/>
              <w:rPr>
                <w:rFonts w:ascii="Times New Roman" w:hAnsi="Times New Roman"/>
                <w:sz w:val="28"/>
                <w:szCs w:val="28"/>
              </w:rPr>
            </w:pPr>
            <w:r w:rsidRPr="003A1FE1">
              <w:rPr>
                <w:rFonts w:ascii="Times New Roman" w:hAnsi="Times New Roman"/>
                <w:sz w:val="28"/>
                <w:szCs w:val="28"/>
              </w:rPr>
              <w:t>同左</w:t>
            </w:r>
          </w:p>
        </w:tc>
        <w:tc>
          <w:tcPr>
            <w:tcW w:w="2715" w:type="dxa"/>
            <w:shd w:val="clear" w:color="auto" w:fill="auto"/>
          </w:tcPr>
          <w:p w:rsidR="00121031" w:rsidRPr="003A1FE1" w:rsidRDefault="00121031" w:rsidP="00B25F84">
            <w:pPr>
              <w:pStyle w:val="1"/>
              <w:numPr>
                <w:ilvl w:val="0"/>
                <w:numId w:val="0"/>
              </w:numPr>
              <w:rPr>
                <w:rFonts w:ascii="Times New Roman" w:hAnsi="Times New Roman"/>
                <w:sz w:val="28"/>
                <w:szCs w:val="28"/>
              </w:rPr>
            </w:pPr>
            <w:r w:rsidRPr="003A1FE1">
              <w:rPr>
                <w:rFonts w:ascii="Times New Roman" w:hAnsi="Times New Roman"/>
                <w:sz w:val="28"/>
                <w:szCs w:val="28"/>
              </w:rPr>
              <w:t>以免擔保品及保證人為原則，惟經辦機構審查認定非予徵提顯有未能清償之虞者，得酌情徵提擔保品或保證人。</w:t>
            </w:r>
          </w:p>
        </w:tc>
      </w:tr>
      <w:tr w:rsidR="003A1FE1" w:rsidRPr="003A1FE1" w:rsidTr="00B25F84">
        <w:trPr>
          <w:jc w:val="center"/>
        </w:trPr>
        <w:tc>
          <w:tcPr>
            <w:tcW w:w="851" w:type="dxa"/>
            <w:shd w:val="clear" w:color="auto" w:fill="auto"/>
            <w:vAlign w:val="center"/>
          </w:tcPr>
          <w:p w:rsidR="00121031" w:rsidRPr="003A1FE1" w:rsidRDefault="00121031" w:rsidP="00B25F84">
            <w:pPr>
              <w:pStyle w:val="1"/>
              <w:numPr>
                <w:ilvl w:val="0"/>
                <w:numId w:val="0"/>
              </w:numPr>
              <w:jc w:val="center"/>
              <w:rPr>
                <w:rFonts w:ascii="Times New Roman" w:hAnsi="Times New Roman"/>
                <w:sz w:val="28"/>
                <w:szCs w:val="28"/>
              </w:rPr>
            </w:pPr>
            <w:r w:rsidRPr="003A1FE1">
              <w:rPr>
                <w:rFonts w:ascii="Times New Roman" w:hAnsi="Times New Roman"/>
                <w:sz w:val="28"/>
                <w:szCs w:val="28"/>
              </w:rPr>
              <w:t>貸款</w:t>
            </w:r>
          </w:p>
          <w:p w:rsidR="00121031" w:rsidRPr="003A1FE1" w:rsidRDefault="00121031" w:rsidP="00B25F84">
            <w:pPr>
              <w:pStyle w:val="1"/>
              <w:numPr>
                <w:ilvl w:val="0"/>
                <w:numId w:val="0"/>
              </w:numPr>
              <w:jc w:val="center"/>
              <w:rPr>
                <w:rFonts w:ascii="Times New Roman" w:hAnsi="Times New Roman"/>
                <w:sz w:val="28"/>
                <w:szCs w:val="28"/>
              </w:rPr>
            </w:pPr>
            <w:r w:rsidRPr="003A1FE1">
              <w:rPr>
                <w:rFonts w:ascii="Times New Roman" w:hAnsi="Times New Roman"/>
                <w:sz w:val="28"/>
                <w:szCs w:val="28"/>
              </w:rPr>
              <w:t>最高</w:t>
            </w:r>
          </w:p>
          <w:p w:rsidR="00121031" w:rsidRPr="003A1FE1" w:rsidRDefault="00121031" w:rsidP="00B25F84">
            <w:pPr>
              <w:pStyle w:val="1"/>
              <w:numPr>
                <w:ilvl w:val="0"/>
                <w:numId w:val="0"/>
              </w:numPr>
              <w:jc w:val="center"/>
              <w:rPr>
                <w:rFonts w:ascii="Times New Roman" w:hAnsi="Times New Roman"/>
                <w:sz w:val="28"/>
                <w:szCs w:val="28"/>
              </w:rPr>
            </w:pPr>
            <w:r w:rsidRPr="003A1FE1">
              <w:rPr>
                <w:rFonts w:ascii="Times New Roman" w:hAnsi="Times New Roman"/>
                <w:sz w:val="28"/>
                <w:szCs w:val="28"/>
              </w:rPr>
              <w:t>額度</w:t>
            </w:r>
          </w:p>
        </w:tc>
        <w:tc>
          <w:tcPr>
            <w:tcW w:w="3118" w:type="dxa"/>
            <w:shd w:val="clear" w:color="auto" w:fill="auto"/>
          </w:tcPr>
          <w:p w:rsidR="00121031" w:rsidRPr="003A1FE1" w:rsidRDefault="00121031" w:rsidP="00B25F84">
            <w:pPr>
              <w:pStyle w:val="1"/>
              <w:numPr>
                <w:ilvl w:val="0"/>
                <w:numId w:val="0"/>
              </w:numPr>
              <w:rPr>
                <w:rFonts w:ascii="Times New Roman" w:hAnsi="Times New Roman"/>
                <w:sz w:val="28"/>
                <w:szCs w:val="28"/>
              </w:rPr>
            </w:pPr>
            <w:r w:rsidRPr="003A1FE1">
              <w:rPr>
                <w:rFonts w:ascii="Times New Roman" w:hAnsi="Times New Roman"/>
                <w:sz w:val="28"/>
                <w:szCs w:val="28"/>
              </w:rPr>
              <w:t>依申請人事業別、貸款用途訂定貸款最高額度。</w:t>
            </w:r>
          </w:p>
        </w:tc>
        <w:tc>
          <w:tcPr>
            <w:tcW w:w="2126" w:type="dxa"/>
            <w:shd w:val="clear" w:color="auto" w:fill="auto"/>
          </w:tcPr>
          <w:p w:rsidR="00121031" w:rsidRPr="003A1FE1" w:rsidRDefault="00121031" w:rsidP="00B25F84">
            <w:pPr>
              <w:pStyle w:val="1"/>
              <w:numPr>
                <w:ilvl w:val="0"/>
                <w:numId w:val="0"/>
              </w:numPr>
              <w:rPr>
                <w:rFonts w:ascii="Times New Roman" w:hAnsi="Times New Roman"/>
                <w:sz w:val="28"/>
                <w:szCs w:val="28"/>
              </w:rPr>
            </w:pPr>
            <w:r w:rsidRPr="003A1FE1">
              <w:rPr>
                <w:rFonts w:ascii="Times New Roman" w:hAnsi="Times New Roman"/>
                <w:sz w:val="28"/>
                <w:szCs w:val="28"/>
              </w:rPr>
              <w:t>200</w:t>
            </w:r>
            <w:r w:rsidRPr="003A1FE1">
              <w:rPr>
                <w:rFonts w:ascii="Times New Roman" w:hAnsi="Times New Roman"/>
                <w:sz w:val="28"/>
                <w:szCs w:val="28"/>
              </w:rPr>
              <w:t>萬元，但應於事業完成登記或立案後，始得撥貸。</w:t>
            </w:r>
          </w:p>
        </w:tc>
        <w:tc>
          <w:tcPr>
            <w:tcW w:w="2715" w:type="dxa"/>
            <w:shd w:val="clear" w:color="auto" w:fill="auto"/>
          </w:tcPr>
          <w:p w:rsidR="00121031" w:rsidRPr="003A1FE1" w:rsidRDefault="00121031" w:rsidP="00121031">
            <w:pPr>
              <w:pStyle w:val="1"/>
              <w:numPr>
                <w:ilvl w:val="0"/>
                <w:numId w:val="0"/>
              </w:numPr>
              <w:ind w:left="300" w:hangingChars="100" w:hanging="300"/>
              <w:rPr>
                <w:rFonts w:ascii="Times New Roman" w:hAnsi="Times New Roman"/>
                <w:sz w:val="28"/>
                <w:szCs w:val="28"/>
              </w:rPr>
            </w:pPr>
            <w:r w:rsidRPr="003A1FE1">
              <w:rPr>
                <w:rFonts w:ascii="Times New Roman" w:hAnsi="Times New Roman"/>
                <w:sz w:val="28"/>
                <w:szCs w:val="28"/>
              </w:rPr>
              <w:t>1.</w:t>
            </w:r>
            <w:r w:rsidRPr="003A1FE1">
              <w:rPr>
                <w:rFonts w:ascii="Times New Roman" w:hAnsi="Times New Roman"/>
                <w:sz w:val="28"/>
                <w:szCs w:val="28"/>
              </w:rPr>
              <w:t>生產用途：</w:t>
            </w:r>
            <w:r w:rsidRPr="003A1FE1">
              <w:rPr>
                <w:rFonts w:ascii="Times New Roman" w:hAnsi="Times New Roman"/>
                <w:sz w:val="28"/>
                <w:szCs w:val="28"/>
              </w:rPr>
              <w:t>30</w:t>
            </w:r>
            <w:r w:rsidRPr="003A1FE1">
              <w:rPr>
                <w:rFonts w:ascii="Times New Roman" w:hAnsi="Times New Roman"/>
                <w:sz w:val="28"/>
                <w:szCs w:val="28"/>
              </w:rPr>
              <w:t>萬元。</w:t>
            </w:r>
          </w:p>
          <w:p w:rsidR="00121031" w:rsidRPr="003A1FE1" w:rsidRDefault="00121031" w:rsidP="00121031">
            <w:pPr>
              <w:pStyle w:val="1"/>
              <w:numPr>
                <w:ilvl w:val="0"/>
                <w:numId w:val="0"/>
              </w:numPr>
              <w:ind w:left="300" w:hangingChars="100" w:hanging="300"/>
              <w:rPr>
                <w:rFonts w:ascii="Times New Roman" w:hAnsi="Times New Roman"/>
                <w:sz w:val="28"/>
                <w:szCs w:val="28"/>
              </w:rPr>
            </w:pPr>
            <w:r w:rsidRPr="003A1FE1">
              <w:rPr>
                <w:rFonts w:ascii="Times New Roman" w:hAnsi="Times New Roman"/>
                <w:sz w:val="28"/>
                <w:szCs w:val="28"/>
              </w:rPr>
              <w:t>2.</w:t>
            </w:r>
            <w:r w:rsidRPr="003A1FE1">
              <w:rPr>
                <w:rFonts w:ascii="Times New Roman" w:hAnsi="Times New Roman"/>
                <w:sz w:val="28"/>
                <w:szCs w:val="28"/>
              </w:rPr>
              <w:t>消費與週轉用途：</w:t>
            </w:r>
            <w:r w:rsidRPr="003A1FE1">
              <w:rPr>
                <w:rFonts w:ascii="Times New Roman" w:hAnsi="Times New Roman"/>
                <w:sz w:val="28"/>
                <w:szCs w:val="28"/>
              </w:rPr>
              <w:t>20</w:t>
            </w:r>
            <w:r w:rsidRPr="003A1FE1">
              <w:rPr>
                <w:rFonts w:ascii="Times New Roman" w:hAnsi="Times New Roman"/>
                <w:sz w:val="28"/>
                <w:szCs w:val="28"/>
              </w:rPr>
              <w:t>萬元。</w:t>
            </w:r>
          </w:p>
          <w:p w:rsidR="00121031" w:rsidRPr="003A1FE1" w:rsidRDefault="00121031" w:rsidP="00121031">
            <w:pPr>
              <w:pStyle w:val="1"/>
              <w:numPr>
                <w:ilvl w:val="0"/>
                <w:numId w:val="0"/>
              </w:numPr>
              <w:ind w:left="300" w:hangingChars="100" w:hanging="300"/>
              <w:rPr>
                <w:rFonts w:ascii="Times New Roman" w:hAnsi="Times New Roman"/>
                <w:sz w:val="28"/>
                <w:szCs w:val="28"/>
              </w:rPr>
            </w:pPr>
            <w:r w:rsidRPr="003A1FE1">
              <w:rPr>
                <w:rFonts w:ascii="Times New Roman" w:hAnsi="Times New Roman"/>
                <w:sz w:val="28"/>
                <w:szCs w:val="28"/>
              </w:rPr>
              <w:t>3.</w:t>
            </w:r>
            <w:r w:rsidRPr="003A1FE1">
              <w:rPr>
                <w:rFonts w:ascii="Times New Roman" w:hAnsi="Times New Roman"/>
                <w:sz w:val="28"/>
                <w:szCs w:val="28"/>
              </w:rPr>
              <w:t>具軍公教人員身分者：</w:t>
            </w:r>
            <w:r w:rsidRPr="003A1FE1">
              <w:rPr>
                <w:rFonts w:ascii="Times New Roman" w:hAnsi="Times New Roman"/>
                <w:sz w:val="28"/>
                <w:szCs w:val="28"/>
              </w:rPr>
              <w:t>15</w:t>
            </w:r>
            <w:r w:rsidRPr="003A1FE1">
              <w:rPr>
                <w:rFonts w:ascii="Times New Roman" w:hAnsi="Times New Roman"/>
                <w:sz w:val="28"/>
                <w:szCs w:val="28"/>
              </w:rPr>
              <w:t>萬元。</w:t>
            </w:r>
          </w:p>
          <w:p w:rsidR="00121031" w:rsidRPr="003A1FE1" w:rsidRDefault="00121031" w:rsidP="00121031">
            <w:pPr>
              <w:pStyle w:val="1"/>
              <w:numPr>
                <w:ilvl w:val="0"/>
                <w:numId w:val="0"/>
              </w:numPr>
              <w:ind w:left="300" w:hangingChars="100" w:hanging="300"/>
              <w:rPr>
                <w:rFonts w:ascii="Times New Roman" w:hAnsi="Times New Roman"/>
                <w:sz w:val="28"/>
                <w:szCs w:val="28"/>
              </w:rPr>
            </w:pPr>
            <w:r w:rsidRPr="003A1FE1">
              <w:rPr>
                <w:rFonts w:ascii="Times New Roman" w:hAnsi="Times New Roman"/>
                <w:sz w:val="28"/>
                <w:szCs w:val="28"/>
              </w:rPr>
              <w:t>4.</w:t>
            </w:r>
            <w:r w:rsidRPr="003A1FE1">
              <w:rPr>
                <w:rFonts w:ascii="Times New Roman" w:hAnsi="Times New Roman"/>
                <w:sz w:val="28"/>
                <w:szCs w:val="28"/>
              </w:rPr>
              <w:t>申請人及其配偶獲貸金額應合併計算，最高以</w:t>
            </w:r>
            <w:r w:rsidRPr="003A1FE1">
              <w:rPr>
                <w:rFonts w:ascii="Times New Roman" w:hAnsi="Times New Roman"/>
                <w:sz w:val="28"/>
                <w:szCs w:val="28"/>
              </w:rPr>
              <w:t>30</w:t>
            </w:r>
            <w:r w:rsidRPr="003A1FE1">
              <w:rPr>
                <w:rFonts w:ascii="Times New Roman" w:hAnsi="Times New Roman"/>
                <w:sz w:val="28"/>
                <w:szCs w:val="28"/>
              </w:rPr>
              <w:t>萬元為限。</w:t>
            </w:r>
          </w:p>
        </w:tc>
      </w:tr>
      <w:tr w:rsidR="003A1FE1" w:rsidRPr="003A1FE1" w:rsidTr="00B25F84">
        <w:trPr>
          <w:jc w:val="center"/>
        </w:trPr>
        <w:tc>
          <w:tcPr>
            <w:tcW w:w="851" w:type="dxa"/>
            <w:shd w:val="clear" w:color="auto" w:fill="auto"/>
            <w:vAlign w:val="center"/>
          </w:tcPr>
          <w:p w:rsidR="00121031" w:rsidRPr="003A1FE1" w:rsidRDefault="00121031" w:rsidP="00B25F84">
            <w:pPr>
              <w:pStyle w:val="1"/>
              <w:numPr>
                <w:ilvl w:val="0"/>
                <w:numId w:val="0"/>
              </w:numPr>
              <w:jc w:val="center"/>
              <w:rPr>
                <w:rFonts w:ascii="Times New Roman" w:hAnsi="Times New Roman"/>
                <w:sz w:val="28"/>
                <w:szCs w:val="28"/>
              </w:rPr>
            </w:pPr>
            <w:r w:rsidRPr="003A1FE1">
              <w:rPr>
                <w:rFonts w:ascii="Times New Roman" w:hAnsi="Times New Roman"/>
                <w:sz w:val="28"/>
                <w:szCs w:val="28"/>
              </w:rPr>
              <w:t>貸款</w:t>
            </w:r>
          </w:p>
          <w:p w:rsidR="00121031" w:rsidRPr="003A1FE1" w:rsidRDefault="00121031" w:rsidP="00B25F84">
            <w:pPr>
              <w:pStyle w:val="1"/>
              <w:numPr>
                <w:ilvl w:val="0"/>
                <w:numId w:val="0"/>
              </w:numPr>
              <w:jc w:val="center"/>
              <w:rPr>
                <w:rFonts w:ascii="Times New Roman" w:hAnsi="Times New Roman"/>
                <w:sz w:val="28"/>
                <w:szCs w:val="28"/>
              </w:rPr>
            </w:pPr>
            <w:r w:rsidRPr="003A1FE1">
              <w:rPr>
                <w:rFonts w:ascii="Times New Roman" w:hAnsi="Times New Roman"/>
                <w:sz w:val="28"/>
                <w:szCs w:val="28"/>
              </w:rPr>
              <w:t>利率</w:t>
            </w:r>
          </w:p>
        </w:tc>
        <w:tc>
          <w:tcPr>
            <w:tcW w:w="3118" w:type="dxa"/>
            <w:shd w:val="clear" w:color="auto" w:fill="auto"/>
          </w:tcPr>
          <w:p w:rsidR="00121031" w:rsidRPr="003A1FE1" w:rsidRDefault="00121031" w:rsidP="00B25F84">
            <w:pPr>
              <w:pStyle w:val="1"/>
              <w:numPr>
                <w:ilvl w:val="0"/>
                <w:numId w:val="0"/>
              </w:numPr>
              <w:rPr>
                <w:rFonts w:ascii="Times New Roman" w:hAnsi="Times New Roman"/>
                <w:sz w:val="28"/>
                <w:szCs w:val="28"/>
              </w:rPr>
            </w:pPr>
            <w:r w:rsidRPr="003A1FE1">
              <w:rPr>
                <w:rFonts w:ascii="Times New Roman" w:hAnsi="Times New Roman"/>
                <w:sz w:val="28"/>
                <w:szCs w:val="28"/>
              </w:rPr>
              <w:t>按中華郵政股份有限公司</w:t>
            </w:r>
            <w:r w:rsidRPr="003A1FE1">
              <w:rPr>
                <w:rFonts w:ascii="Times New Roman" w:hAnsi="Times New Roman"/>
                <w:sz w:val="28"/>
                <w:szCs w:val="28"/>
              </w:rPr>
              <w:t>2</w:t>
            </w:r>
            <w:r w:rsidRPr="003A1FE1">
              <w:rPr>
                <w:rFonts w:ascii="Times New Roman" w:hAnsi="Times New Roman"/>
                <w:sz w:val="28"/>
                <w:szCs w:val="28"/>
              </w:rPr>
              <w:t>年期定期儲金機動利率加</w:t>
            </w:r>
            <w:r w:rsidRPr="003A1FE1">
              <w:rPr>
                <w:rFonts w:ascii="Times New Roman" w:hAnsi="Times New Roman"/>
                <w:sz w:val="28"/>
                <w:szCs w:val="28"/>
              </w:rPr>
              <w:t>0.125%</w:t>
            </w:r>
            <w:r w:rsidRPr="003A1FE1">
              <w:rPr>
                <w:rFonts w:ascii="Times New Roman" w:hAnsi="Times New Roman"/>
                <w:sz w:val="28"/>
                <w:szCs w:val="28"/>
              </w:rPr>
              <w:t>，機動計息。</w:t>
            </w:r>
          </w:p>
        </w:tc>
        <w:tc>
          <w:tcPr>
            <w:tcW w:w="2126" w:type="dxa"/>
            <w:shd w:val="clear" w:color="auto" w:fill="auto"/>
          </w:tcPr>
          <w:p w:rsidR="00121031" w:rsidRPr="003A1FE1" w:rsidRDefault="00121031" w:rsidP="00B25F84">
            <w:pPr>
              <w:jc w:val="left"/>
              <w:rPr>
                <w:rFonts w:ascii="Times New Roman"/>
              </w:rPr>
            </w:pPr>
            <w:r w:rsidRPr="003A1FE1">
              <w:rPr>
                <w:rFonts w:ascii="Times New Roman"/>
                <w:sz w:val="28"/>
                <w:szCs w:val="28"/>
              </w:rPr>
              <w:t>同左</w:t>
            </w:r>
          </w:p>
        </w:tc>
        <w:tc>
          <w:tcPr>
            <w:tcW w:w="2715" w:type="dxa"/>
            <w:shd w:val="clear" w:color="auto" w:fill="auto"/>
          </w:tcPr>
          <w:p w:rsidR="00121031" w:rsidRPr="003A1FE1" w:rsidRDefault="00121031" w:rsidP="00B25F84">
            <w:pPr>
              <w:jc w:val="left"/>
              <w:rPr>
                <w:rFonts w:ascii="Times New Roman"/>
              </w:rPr>
            </w:pPr>
            <w:r w:rsidRPr="003A1FE1">
              <w:rPr>
                <w:rFonts w:ascii="Times New Roman"/>
                <w:sz w:val="28"/>
                <w:szCs w:val="28"/>
              </w:rPr>
              <w:t>同左</w:t>
            </w:r>
          </w:p>
        </w:tc>
      </w:tr>
      <w:tr w:rsidR="003A1FE1" w:rsidRPr="003A1FE1" w:rsidTr="00B25F84">
        <w:trPr>
          <w:jc w:val="center"/>
        </w:trPr>
        <w:tc>
          <w:tcPr>
            <w:tcW w:w="851" w:type="dxa"/>
            <w:shd w:val="clear" w:color="auto" w:fill="auto"/>
            <w:vAlign w:val="center"/>
          </w:tcPr>
          <w:p w:rsidR="00121031" w:rsidRPr="003A1FE1" w:rsidRDefault="00121031" w:rsidP="00B25F84">
            <w:pPr>
              <w:pStyle w:val="1"/>
              <w:numPr>
                <w:ilvl w:val="0"/>
                <w:numId w:val="0"/>
              </w:numPr>
              <w:jc w:val="center"/>
              <w:rPr>
                <w:rFonts w:ascii="Times New Roman" w:hAnsi="Times New Roman"/>
                <w:sz w:val="28"/>
                <w:szCs w:val="28"/>
              </w:rPr>
            </w:pPr>
            <w:r w:rsidRPr="003A1FE1">
              <w:rPr>
                <w:rFonts w:ascii="Times New Roman" w:hAnsi="Times New Roman"/>
                <w:sz w:val="28"/>
                <w:szCs w:val="28"/>
              </w:rPr>
              <w:t>貸款</w:t>
            </w:r>
          </w:p>
          <w:p w:rsidR="00121031" w:rsidRPr="003A1FE1" w:rsidRDefault="00121031" w:rsidP="00B25F84">
            <w:pPr>
              <w:pStyle w:val="1"/>
              <w:numPr>
                <w:ilvl w:val="0"/>
                <w:numId w:val="0"/>
              </w:numPr>
              <w:jc w:val="center"/>
              <w:rPr>
                <w:rFonts w:ascii="Times New Roman" w:hAnsi="Times New Roman"/>
                <w:sz w:val="28"/>
                <w:szCs w:val="28"/>
              </w:rPr>
            </w:pPr>
            <w:r w:rsidRPr="003A1FE1">
              <w:rPr>
                <w:rFonts w:ascii="Times New Roman" w:hAnsi="Times New Roman"/>
                <w:sz w:val="28"/>
                <w:szCs w:val="28"/>
              </w:rPr>
              <w:t>年限</w:t>
            </w:r>
          </w:p>
        </w:tc>
        <w:tc>
          <w:tcPr>
            <w:tcW w:w="3118" w:type="dxa"/>
            <w:shd w:val="clear" w:color="auto" w:fill="auto"/>
          </w:tcPr>
          <w:p w:rsidR="00121031" w:rsidRPr="003A1FE1" w:rsidRDefault="00121031" w:rsidP="00B25F84">
            <w:pPr>
              <w:pStyle w:val="1"/>
              <w:numPr>
                <w:ilvl w:val="0"/>
                <w:numId w:val="0"/>
              </w:numPr>
              <w:rPr>
                <w:rFonts w:ascii="Times New Roman" w:hAnsi="Times New Roman"/>
                <w:sz w:val="28"/>
                <w:szCs w:val="28"/>
              </w:rPr>
            </w:pPr>
            <w:r w:rsidRPr="003A1FE1">
              <w:rPr>
                <w:rFonts w:ascii="Times New Roman" w:hAnsi="Times New Roman"/>
                <w:sz w:val="28"/>
                <w:szCs w:val="28"/>
              </w:rPr>
              <w:t>資本支出</w:t>
            </w:r>
            <w:r w:rsidRPr="003A1FE1">
              <w:rPr>
                <w:rFonts w:ascii="Times New Roman" w:hAnsi="Times New Roman"/>
                <w:sz w:val="28"/>
                <w:szCs w:val="28"/>
              </w:rPr>
              <w:t>15</w:t>
            </w:r>
            <w:r w:rsidRPr="003A1FE1">
              <w:rPr>
                <w:rFonts w:ascii="Times New Roman" w:hAnsi="Times New Roman"/>
                <w:sz w:val="28"/>
                <w:szCs w:val="28"/>
              </w:rPr>
              <w:t>年，含寬限期最長</w:t>
            </w:r>
            <w:r w:rsidRPr="003A1FE1">
              <w:rPr>
                <w:rFonts w:ascii="Times New Roman" w:hAnsi="Times New Roman"/>
                <w:sz w:val="28"/>
                <w:szCs w:val="28"/>
              </w:rPr>
              <w:t>3</w:t>
            </w:r>
            <w:r w:rsidRPr="003A1FE1">
              <w:rPr>
                <w:rFonts w:ascii="Times New Roman" w:hAnsi="Times New Roman"/>
                <w:sz w:val="28"/>
                <w:szCs w:val="28"/>
              </w:rPr>
              <w:t>年；其餘貸款</w:t>
            </w:r>
            <w:r w:rsidRPr="003A1FE1">
              <w:rPr>
                <w:rFonts w:ascii="Times New Roman" w:hAnsi="Times New Roman"/>
                <w:sz w:val="28"/>
                <w:szCs w:val="28"/>
              </w:rPr>
              <w:t>7</w:t>
            </w:r>
            <w:r w:rsidRPr="003A1FE1">
              <w:rPr>
                <w:rFonts w:ascii="Times New Roman" w:hAnsi="Times New Roman"/>
                <w:sz w:val="28"/>
                <w:szCs w:val="28"/>
              </w:rPr>
              <w:t>年，含寬限期最長</w:t>
            </w:r>
            <w:r w:rsidRPr="003A1FE1">
              <w:rPr>
                <w:rFonts w:ascii="Times New Roman" w:hAnsi="Times New Roman"/>
                <w:sz w:val="28"/>
                <w:szCs w:val="28"/>
              </w:rPr>
              <w:t>1</w:t>
            </w:r>
            <w:r w:rsidRPr="003A1FE1">
              <w:rPr>
                <w:rFonts w:ascii="Times New Roman" w:hAnsi="Times New Roman"/>
                <w:sz w:val="28"/>
                <w:szCs w:val="28"/>
              </w:rPr>
              <w:t>年。</w:t>
            </w:r>
          </w:p>
        </w:tc>
        <w:tc>
          <w:tcPr>
            <w:tcW w:w="2126" w:type="dxa"/>
            <w:shd w:val="clear" w:color="auto" w:fill="auto"/>
          </w:tcPr>
          <w:p w:rsidR="00121031" w:rsidRPr="003A1FE1" w:rsidRDefault="00121031" w:rsidP="00B25F84">
            <w:pPr>
              <w:jc w:val="left"/>
              <w:rPr>
                <w:rFonts w:ascii="Times New Roman"/>
                <w:sz w:val="28"/>
                <w:szCs w:val="28"/>
              </w:rPr>
            </w:pPr>
            <w:r w:rsidRPr="003A1FE1">
              <w:rPr>
                <w:rFonts w:ascii="Times New Roman"/>
                <w:sz w:val="28"/>
                <w:szCs w:val="28"/>
              </w:rPr>
              <w:t>同左</w:t>
            </w:r>
          </w:p>
        </w:tc>
        <w:tc>
          <w:tcPr>
            <w:tcW w:w="2715" w:type="dxa"/>
            <w:shd w:val="clear" w:color="auto" w:fill="auto"/>
          </w:tcPr>
          <w:p w:rsidR="00121031" w:rsidRPr="003A1FE1" w:rsidRDefault="00121031" w:rsidP="00B25F84">
            <w:pPr>
              <w:pStyle w:val="1"/>
              <w:numPr>
                <w:ilvl w:val="0"/>
                <w:numId w:val="0"/>
              </w:numPr>
              <w:jc w:val="left"/>
              <w:rPr>
                <w:rFonts w:ascii="Times New Roman" w:hAnsi="Times New Roman"/>
                <w:sz w:val="28"/>
                <w:szCs w:val="28"/>
              </w:rPr>
            </w:pPr>
          </w:p>
        </w:tc>
      </w:tr>
    </w:tbl>
    <w:p w:rsidR="00121031" w:rsidRPr="003A1FE1" w:rsidRDefault="00121031" w:rsidP="00DB0327">
      <w:pPr>
        <w:pStyle w:val="1"/>
        <w:numPr>
          <w:ilvl w:val="0"/>
          <w:numId w:val="0"/>
        </w:numPr>
        <w:spacing w:afterLines="50"/>
        <w:ind w:left="697" w:hanging="697"/>
        <w:rPr>
          <w:rFonts w:ascii="Times New Roman" w:hAnsi="Times New Roman"/>
          <w:sz w:val="24"/>
          <w:szCs w:val="24"/>
        </w:rPr>
      </w:pPr>
      <w:r w:rsidRPr="003A1FE1">
        <w:rPr>
          <w:rFonts w:ascii="Times New Roman" w:hAnsi="Times New Roman"/>
          <w:sz w:val="24"/>
          <w:szCs w:val="24"/>
        </w:rPr>
        <w:t>資料來源：原民會。</w:t>
      </w:r>
    </w:p>
    <w:p w:rsidR="00121031" w:rsidRPr="003A1FE1" w:rsidRDefault="00121031" w:rsidP="00121031">
      <w:pPr>
        <w:pStyle w:val="3"/>
        <w:numPr>
          <w:ilvl w:val="2"/>
          <w:numId w:val="1"/>
        </w:numPr>
        <w:kinsoku w:val="0"/>
        <w:overflowPunct/>
        <w:autoSpaceDE/>
        <w:autoSpaceDN/>
        <w:ind w:left="1360" w:hanging="680"/>
        <w:rPr>
          <w:rFonts w:ascii="Times New Roman" w:hAnsi="Times New Roman"/>
        </w:rPr>
      </w:pPr>
      <w:r w:rsidRPr="003A1FE1">
        <w:rPr>
          <w:rFonts w:ascii="Times New Roman" w:hAnsi="Times New Roman"/>
        </w:rPr>
        <w:t>據本院諮詢專家學者意見表示，原住民的貸款上有兩類，ㄧ類是創業的貸款，ㄧ類是消費性的貸款，但金額都不是很高。原住民土地流失的問題，最關鍵還是在經濟。關於原住民金融的問題，有了金融服務員陪伴之後，一些呆帳問題會下降。但產業如何發展、如何營運，不是只有種菜而已，不是怎麼發展有機農法而已，如何將作物彙集、操作、管理、會計、單據核銷等，都是很專業的事，能否針對他們在營運上最欠缺的財務觀念、相關法令、勞健保問題等，去辦一些講習，給他們一些像經營公司的專業能力，透過這些面向的關注或人力的挹注，才有可能除了發展產業，還能有效運作，也才能解決生計問題。</w:t>
      </w:r>
    </w:p>
    <w:p w:rsidR="00121031" w:rsidRPr="003A1FE1" w:rsidRDefault="00121031" w:rsidP="00121031">
      <w:pPr>
        <w:pStyle w:val="3"/>
        <w:numPr>
          <w:ilvl w:val="2"/>
          <w:numId w:val="1"/>
        </w:numPr>
        <w:kinsoku w:val="0"/>
        <w:overflowPunct/>
        <w:autoSpaceDE/>
        <w:autoSpaceDN/>
        <w:ind w:left="1360" w:hanging="680"/>
        <w:rPr>
          <w:rFonts w:ascii="Times New Roman" w:hAnsi="Times New Roman"/>
        </w:rPr>
      </w:pPr>
      <w:r w:rsidRPr="003A1FE1">
        <w:rPr>
          <w:rFonts w:ascii="Times New Roman" w:hAnsi="Times New Roman"/>
        </w:rPr>
        <w:t>原住民需有妥善的金融支持，才有自主力量。然</w:t>
      </w:r>
      <w:r w:rsidRPr="003A1FE1">
        <w:rPr>
          <w:rFonts w:ascii="Times New Roman" w:hAnsi="Times New Roman"/>
          <w:bCs w:val="0"/>
        </w:rPr>
        <w:t>「原住民族綜合發展基金」並未成立原住民族專屬金融機構或原住民族金庫，而係與其他金融機構合作。經辦該基金貸款業務之金融機構審理申貸案件，首重安全性，為確保債權，審核嚴格，且貸放金額不高，故該基金資產總額雖有</w:t>
      </w:r>
      <w:r w:rsidRPr="003A1FE1">
        <w:rPr>
          <w:rFonts w:ascii="Times New Roman" w:hAnsi="Times New Roman"/>
          <w:bCs w:val="0"/>
        </w:rPr>
        <w:t>117</w:t>
      </w:r>
      <w:r w:rsidRPr="003A1FE1">
        <w:rPr>
          <w:rFonts w:ascii="Times New Roman" w:hAnsi="Times New Roman"/>
          <w:bCs w:val="0"/>
        </w:rPr>
        <w:t>億</w:t>
      </w:r>
      <w:r w:rsidRPr="003A1FE1">
        <w:rPr>
          <w:rFonts w:ascii="Times New Roman" w:hAnsi="Times New Roman"/>
          <w:bCs w:val="0"/>
        </w:rPr>
        <w:t>9,611</w:t>
      </w:r>
      <w:r w:rsidRPr="003A1FE1">
        <w:rPr>
          <w:rFonts w:ascii="Times New Roman" w:hAnsi="Times New Roman"/>
          <w:bCs w:val="0"/>
        </w:rPr>
        <w:t>萬餘元，</w:t>
      </w:r>
      <w:r w:rsidRPr="003A1FE1">
        <w:rPr>
          <w:rFonts w:ascii="Times New Roman" w:hAnsi="Times New Roman"/>
          <w:bCs w:val="0"/>
          <w:szCs w:val="32"/>
        </w:rPr>
        <w:t>實際貸放情況卻不佳。根據原民會統計，自</w:t>
      </w:r>
      <w:r w:rsidRPr="003A1FE1">
        <w:rPr>
          <w:rFonts w:ascii="Times New Roman" w:hAnsi="Times New Roman"/>
          <w:bCs w:val="0"/>
          <w:szCs w:val="32"/>
        </w:rPr>
        <w:t>93</w:t>
      </w:r>
      <w:r w:rsidRPr="003A1FE1">
        <w:rPr>
          <w:rFonts w:ascii="Times New Roman" w:hAnsi="Times New Roman"/>
          <w:bCs w:val="0"/>
          <w:szCs w:val="32"/>
        </w:rPr>
        <w:t>年至</w:t>
      </w:r>
      <w:r w:rsidRPr="003A1FE1">
        <w:rPr>
          <w:rFonts w:ascii="Times New Roman" w:hAnsi="Times New Roman"/>
          <w:bCs w:val="0"/>
          <w:szCs w:val="32"/>
        </w:rPr>
        <w:t>104</w:t>
      </w:r>
      <w:r w:rsidRPr="003A1FE1">
        <w:rPr>
          <w:rFonts w:ascii="Times New Roman" w:hAnsi="Times New Roman"/>
          <w:bCs w:val="0"/>
          <w:szCs w:val="32"/>
        </w:rPr>
        <w:t>年</w:t>
      </w:r>
      <w:r w:rsidRPr="003A1FE1">
        <w:rPr>
          <w:rFonts w:ascii="Times New Roman" w:hAnsi="Times New Roman"/>
          <w:bCs w:val="0"/>
          <w:szCs w:val="32"/>
        </w:rPr>
        <w:t>9</w:t>
      </w:r>
      <w:r w:rsidRPr="003A1FE1">
        <w:rPr>
          <w:rFonts w:ascii="Times New Roman" w:hAnsi="Times New Roman"/>
          <w:bCs w:val="0"/>
          <w:szCs w:val="32"/>
        </w:rPr>
        <w:t>月，</w:t>
      </w:r>
      <w:r w:rsidRPr="003A1FE1">
        <w:rPr>
          <w:rFonts w:ascii="Times New Roman" w:hAnsi="Times New Roman"/>
          <w:szCs w:val="32"/>
        </w:rPr>
        <w:t>原住民族綜合發展基金申請貸款件數</w:t>
      </w:r>
      <w:r w:rsidRPr="003A1FE1">
        <w:rPr>
          <w:rFonts w:ascii="Times New Roman" w:hAnsi="Times New Roman"/>
          <w:szCs w:val="32"/>
        </w:rPr>
        <w:t>15,193</w:t>
      </w:r>
      <w:r w:rsidRPr="003A1FE1">
        <w:rPr>
          <w:rFonts w:ascii="Times New Roman" w:hAnsi="Times New Roman"/>
          <w:szCs w:val="32"/>
        </w:rPr>
        <w:t>件，申請金額</w:t>
      </w:r>
      <w:r w:rsidRPr="003A1FE1">
        <w:rPr>
          <w:rFonts w:ascii="Times New Roman" w:hAnsi="Times New Roman"/>
          <w:szCs w:val="32"/>
        </w:rPr>
        <w:t>57</w:t>
      </w:r>
      <w:r w:rsidRPr="003A1FE1">
        <w:rPr>
          <w:rFonts w:ascii="Times New Roman" w:hAnsi="Times New Roman"/>
          <w:szCs w:val="32"/>
        </w:rPr>
        <w:t>億</w:t>
      </w:r>
      <w:r w:rsidRPr="003A1FE1">
        <w:rPr>
          <w:rFonts w:ascii="Times New Roman" w:hAnsi="Times New Roman"/>
          <w:szCs w:val="32"/>
        </w:rPr>
        <w:t>5,205</w:t>
      </w:r>
      <w:r w:rsidRPr="003A1FE1">
        <w:rPr>
          <w:rFonts w:ascii="Times New Roman" w:hAnsi="Times New Roman"/>
          <w:szCs w:val="32"/>
        </w:rPr>
        <w:t>萬</w:t>
      </w:r>
      <w:r w:rsidRPr="003A1FE1">
        <w:rPr>
          <w:rFonts w:ascii="Times New Roman" w:hAnsi="Times New Roman"/>
          <w:szCs w:val="32"/>
        </w:rPr>
        <w:t>7</w:t>
      </w:r>
      <w:r w:rsidRPr="003A1FE1">
        <w:rPr>
          <w:rFonts w:ascii="Times New Roman" w:hAnsi="Times New Roman"/>
          <w:szCs w:val="32"/>
        </w:rPr>
        <w:t>千元</w:t>
      </w:r>
      <w:r w:rsidRPr="003A1FE1">
        <w:rPr>
          <w:rFonts w:ascii="Times New Roman" w:hAnsi="Times New Roman"/>
          <w:szCs w:val="32"/>
        </w:rPr>
        <w:t>(</w:t>
      </w:r>
      <w:r w:rsidRPr="003A1FE1">
        <w:rPr>
          <w:rFonts w:ascii="Times New Roman" w:hAnsi="Times New Roman"/>
          <w:szCs w:val="32"/>
        </w:rPr>
        <w:t>其中</w:t>
      </w:r>
      <w:r w:rsidRPr="003A1FE1">
        <w:rPr>
          <w:rFonts w:ascii="Times New Roman" w:hAnsi="Times New Roman"/>
          <w:szCs w:val="32"/>
        </w:rPr>
        <w:t>101</w:t>
      </w:r>
      <w:r w:rsidRPr="003A1FE1">
        <w:rPr>
          <w:rFonts w:ascii="Times New Roman" w:hAnsi="Times New Roman"/>
          <w:szCs w:val="32"/>
        </w:rPr>
        <w:t>年事業貸款之申請貸款件數及申請金額未統計</w:t>
      </w:r>
      <w:r w:rsidRPr="003A1FE1">
        <w:rPr>
          <w:rFonts w:ascii="Times New Roman" w:hAnsi="Times New Roman"/>
          <w:szCs w:val="32"/>
        </w:rPr>
        <w:t>)</w:t>
      </w:r>
      <w:r w:rsidRPr="003A1FE1">
        <w:rPr>
          <w:rFonts w:ascii="Times New Roman" w:hAnsi="Times New Roman"/>
          <w:szCs w:val="32"/>
        </w:rPr>
        <w:t>，實際核准貸款件數</w:t>
      </w:r>
      <w:r w:rsidRPr="003A1FE1">
        <w:rPr>
          <w:rFonts w:ascii="Times New Roman" w:hAnsi="Times New Roman"/>
          <w:szCs w:val="32"/>
        </w:rPr>
        <w:t>10,316</w:t>
      </w:r>
      <w:r w:rsidRPr="003A1FE1">
        <w:rPr>
          <w:rFonts w:ascii="Times New Roman" w:hAnsi="Times New Roman"/>
          <w:szCs w:val="32"/>
        </w:rPr>
        <w:t>件，核准貸款金額</w:t>
      </w:r>
      <w:r w:rsidRPr="003A1FE1">
        <w:rPr>
          <w:rFonts w:ascii="Times New Roman" w:hAnsi="Times New Roman"/>
          <w:szCs w:val="32"/>
        </w:rPr>
        <w:t>30</w:t>
      </w:r>
      <w:r w:rsidRPr="003A1FE1">
        <w:rPr>
          <w:rFonts w:ascii="Times New Roman" w:hAnsi="Times New Roman"/>
          <w:szCs w:val="32"/>
        </w:rPr>
        <w:t>億</w:t>
      </w:r>
      <w:r w:rsidRPr="003A1FE1">
        <w:rPr>
          <w:rFonts w:ascii="Times New Roman" w:hAnsi="Times New Roman"/>
          <w:szCs w:val="32"/>
        </w:rPr>
        <w:t>2,221</w:t>
      </w:r>
      <w:r w:rsidRPr="003A1FE1">
        <w:rPr>
          <w:rFonts w:ascii="Times New Roman" w:hAnsi="Times New Roman"/>
          <w:szCs w:val="32"/>
        </w:rPr>
        <w:t>萬元</w:t>
      </w:r>
      <w:r w:rsidRPr="003A1FE1">
        <w:rPr>
          <w:rFonts w:ascii="Times New Roman" w:hAnsi="Times New Roman"/>
          <w:bCs w:val="0"/>
          <w:szCs w:val="32"/>
        </w:rPr>
        <w:t>。全部</w:t>
      </w:r>
      <w:r w:rsidRPr="003A1FE1">
        <w:rPr>
          <w:rFonts w:ascii="Times New Roman" w:hAnsi="Times New Roman"/>
          <w:szCs w:val="32"/>
        </w:rPr>
        <w:t>核准貸款金額約僅占</w:t>
      </w:r>
      <w:r w:rsidRPr="003A1FE1">
        <w:rPr>
          <w:rFonts w:ascii="Times New Roman" w:hAnsi="Times New Roman"/>
          <w:bCs w:val="0"/>
        </w:rPr>
        <w:t>該基金資產總額</w:t>
      </w:r>
      <w:r w:rsidRPr="003A1FE1">
        <w:rPr>
          <w:rFonts w:ascii="Times New Roman" w:hAnsi="Times New Roman"/>
          <w:bCs w:val="0"/>
        </w:rPr>
        <w:t>117</w:t>
      </w:r>
      <w:r w:rsidRPr="003A1FE1">
        <w:rPr>
          <w:rFonts w:ascii="Times New Roman" w:hAnsi="Times New Roman"/>
          <w:bCs w:val="0"/>
        </w:rPr>
        <w:t>億</w:t>
      </w:r>
      <w:r w:rsidRPr="003A1FE1">
        <w:rPr>
          <w:rFonts w:ascii="Times New Roman" w:hAnsi="Times New Roman"/>
          <w:bCs w:val="0"/>
        </w:rPr>
        <w:t>9,611</w:t>
      </w:r>
      <w:r w:rsidRPr="003A1FE1">
        <w:rPr>
          <w:rFonts w:ascii="Times New Roman" w:hAnsi="Times New Roman"/>
          <w:bCs w:val="0"/>
        </w:rPr>
        <w:t>萬餘元之</w:t>
      </w:r>
      <w:r w:rsidRPr="003A1FE1">
        <w:rPr>
          <w:rFonts w:ascii="Times New Roman" w:hAnsi="Times New Roman"/>
          <w:bCs w:val="0"/>
        </w:rPr>
        <w:t>25</w:t>
      </w:r>
      <w:r w:rsidRPr="003A1FE1">
        <w:rPr>
          <w:rFonts w:ascii="Times New Roman" w:hAnsi="Times New Roman"/>
          <w:bCs w:val="0"/>
        </w:rPr>
        <w:t>％，顯示</w:t>
      </w:r>
      <w:r w:rsidRPr="003A1FE1">
        <w:rPr>
          <w:rFonts w:ascii="Times New Roman" w:hAnsi="Times New Roman"/>
          <w:bCs w:val="0"/>
          <w:szCs w:val="32"/>
        </w:rPr>
        <w:t>貸放情況不佳，而且每件貸放金額不高，平均每件貸放約</w:t>
      </w:r>
      <w:r w:rsidRPr="003A1FE1">
        <w:rPr>
          <w:rFonts w:ascii="Times New Roman" w:hAnsi="Times New Roman"/>
          <w:bCs w:val="0"/>
          <w:szCs w:val="32"/>
        </w:rPr>
        <w:t>29.29</w:t>
      </w:r>
      <w:r w:rsidRPr="003A1FE1">
        <w:rPr>
          <w:rFonts w:ascii="Times New Roman" w:hAnsi="Times New Roman"/>
          <w:bCs w:val="0"/>
          <w:szCs w:val="32"/>
        </w:rPr>
        <w:t>萬元，對</w:t>
      </w:r>
      <w:r w:rsidRPr="003A1FE1">
        <w:rPr>
          <w:rFonts w:ascii="Times New Roman" w:hAnsi="Times New Roman"/>
          <w:bCs w:val="0"/>
        </w:rPr>
        <w:t>原住民開創或從事經營事業幫助有限。部分需要較多資金之原住民可能轉而求助於非原住民，造成</w:t>
      </w:r>
      <w:r w:rsidRPr="003A1FE1">
        <w:rPr>
          <w:rFonts w:ascii="Times New Roman" w:hAnsi="Times New Roman"/>
          <w:szCs w:val="32"/>
        </w:rPr>
        <w:t>原住民保留地</w:t>
      </w:r>
      <w:r w:rsidRPr="003A1FE1">
        <w:rPr>
          <w:rFonts w:ascii="Times New Roman" w:hAnsi="Times New Roman"/>
        </w:rPr>
        <w:t>因違法轉租、轉讓而流失之問題。</w:t>
      </w:r>
    </w:p>
    <w:p w:rsidR="00121031" w:rsidRPr="003A1FE1" w:rsidRDefault="00121031" w:rsidP="00121031">
      <w:pPr>
        <w:pStyle w:val="3"/>
        <w:numPr>
          <w:ilvl w:val="2"/>
          <w:numId w:val="1"/>
        </w:numPr>
        <w:kinsoku w:val="0"/>
        <w:overflowPunct/>
        <w:autoSpaceDE/>
        <w:autoSpaceDN/>
        <w:ind w:left="1360" w:hanging="680"/>
        <w:rPr>
          <w:rFonts w:ascii="Times New Roman" w:hAnsi="Times New Roman"/>
        </w:rPr>
      </w:pPr>
      <w:r w:rsidRPr="003A1FE1">
        <w:rPr>
          <w:rFonts w:ascii="Times New Roman" w:hAnsi="Times New Roman"/>
          <w:bCs w:val="0"/>
        </w:rPr>
        <w:t>另ㄧ方面，經辦該基金貸款業務之金融機構會貸款予原住民，基於原民會可代位求償，且有</w:t>
      </w:r>
      <w:r w:rsidRPr="003A1FE1">
        <w:rPr>
          <w:rFonts w:ascii="Times New Roman" w:hAnsi="Times New Roman"/>
          <w:szCs w:val="32"/>
        </w:rPr>
        <w:t>原住民保留地可供擔保，故對信用調查較鬆，以致部分原住民無能力償還而形成呆帳。原民會雖表示，</w:t>
      </w:r>
      <w:r w:rsidRPr="003A1FE1">
        <w:rPr>
          <w:rFonts w:ascii="Times New Roman" w:hAnsi="Times New Roman"/>
          <w:bCs w:val="0"/>
          <w:szCs w:val="32"/>
        </w:rPr>
        <w:t>自行辦理「</w:t>
      </w:r>
      <w:r w:rsidRPr="003A1FE1">
        <w:rPr>
          <w:rFonts w:ascii="Times New Roman" w:hAnsi="Times New Roman"/>
          <w:bCs w:val="0"/>
          <w:szCs w:val="32"/>
        </w:rPr>
        <w:t>105</w:t>
      </w:r>
      <w:r w:rsidRPr="003A1FE1">
        <w:rPr>
          <w:rFonts w:ascii="Times New Roman" w:hAnsi="Times New Roman"/>
          <w:bCs w:val="0"/>
          <w:szCs w:val="32"/>
        </w:rPr>
        <w:t>年度僱用原住民金融輔導員計畫」，以資源統整的金融輔導模式、打造專業輔導團隊服務，並採勞務採購委外辦理，訓練輔導金融輔導員取得金融相關專業證照，實質提升金融員專業素養，並建立團隊服務，轉型為金融輔導團隊，俾發揮金融陪伴輔導機制，有效協助族人順利取得資金等語，惟原住民族產業發展與營運之策略，以及原住民本身財務觀念、相關法令等專業經營能力之培養等相關</w:t>
      </w:r>
      <w:r w:rsidRPr="003A1FE1">
        <w:rPr>
          <w:rFonts w:ascii="Times New Roman" w:hAnsi="Times New Roman"/>
          <w:szCs w:val="32"/>
        </w:rPr>
        <w:t>配套措施仍嫌不足，</w:t>
      </w:r>
      <w:r w:rsidRPr="003A1FE1">
        <w:rPr>
          <w:rFonts w:ascii="Times New Roman" w:hAnsi="Times New Roman"/>
        </w:rPr>
        <w:t>允應健全妥善的金融配套措施，以提供原住民妥善的金融支持</w:t>
      </w:r>
      <w:r w:rsidRPr="003A1FE1">
        <w:rPr>
          <w:rFonts w:ascii="Times New Roman" w:hAnsi="Times New Roman"/>
          <w:b/>
        </w:rPr>
        <w:t>。</w:t>
      </w:r>
    </w:p>
    <w:p w:rsidR="00240C19" w:rsidRPr="003A1FE1" w:rsidRDefault="00121031" w:rsidP="00121031">
      <w:pPr>
        <w:pStyle w:val="3"/>
        <w:numPr>
          <w:ilvl w:val="2"/>
          <w:numId w:val="1"/>
        </w:numPr>
        <w:kinsoku w:val="0"/>
        <w:overflowPunct/>
        <w:autoSpaceDE/>
        <w:autoSpaceDN/>
        <w:ind w:left="1360" w:hanging="680"/>
        <w:rPr>
          <w:rFonts w:hAnsi="標楷體"/>
          <w:szCs w:val="32"/>
        </w:rPr>
      </w:pPr>
      <w:r w:rsidRPr="003A1FE1">
        <w:rPr>
          <w:rFonts w:ascii="Times New Roman" w:hAnsi="Times New Roman"/>
        </w:rPr>
        <w:t>綜上，原住民保留地因違法轉租、轉讓不斷流失，最關鍵之處為原住民的經濟問題未獲改善，致使原住民因貧窮被迫違法轉讓、轉租的惡性循環不斷發生，原民會未能正視其嚴重性，且未能確實建立妥善的金融配套措施，協助原住民能在自己的土地上發展產業解決生計問題，核有違失。</w:t>
      </w:r>
    </w:p>
    <w:p w:rsidR="00286B1B" w:rsidRPr="003A1FE1" w:rsidRDefault="000512D1" w:rsidP="00C86866">
      <w:pPr>
        <w:pStyle w:val="10"/>
        <w:ind w:left="680" w:firstLine="680"/>
      </w:pPr>
      <w:bookmarkStart w:id="44" w:name="_Toc524902730"/>
      <w:bookmarkEnd w:id="36"/>
      <w:bookmarkEnd w:id="37"/>
      <w:bookmarkEnd w:id="38"/>
      <w:bookmarkEnd w:id="39"/>
      <w:bookmarkEnd w:id="40"/>
      <w:bookmarkEnd w:id="41"/>
      <w:bookmarkEnd w:id="42"/>
      <w:bookmarkEnd w:id="43"/>
      <w:r w:rsidRPr="003A1FE1">
        <w:rPr>
          <w:rFonts w:hint="eastAsia"/>
        </w:rPr>
        <w:t>綜</w:t>
      </w:r>
      <w:r w:rsidR="00A51763" w:rsidRPr="003A1FE1">
        <w:rPr>
          <w:rFonts w:hint="eastAsia"/>
        </w:rPr>
        <w:t>合</w:t>
      </w:r>
      <w:r w:rsidRPr="003A1FE1">
        <w:rPr>
          <w:rFonts w:hint="eastAsia"/>
        </w:rPr>
        <w:t>上述，</w:t>
      </w:r>
      <w:r w:rsidR="00121031" w:rsidRPr="003A1FE1">
        <w:rPr>
          <w:rFonts w:ascii="Times New Roman"/>
          <w:szCs w:val="32"/>
        </w:rPr>
        <w:t>原住民取得原住民保留地相關權利後，違法轉讓、轉租之行為，不僅嚴重悖離既有原住民保留地政策，違反現行法令，更衍生原住民保留地地權實質流失的危機，以及原住民與非原住民間對於原住民保留地的產權糾紛與衝突，中央與地方主管機關為落實原住民保留地政策與執行法令，自有責任提出對策並積極查處。惟多年來，各縣市政府未能善盡職責，詳加調查，而原民會僅以宣導方式處理，未能針對違法態樣，就法制或執行面，謀求改善，督導各縣市政府積極處理，致使該違法情形長期存在且日益嚴重</w:t>
      </w:r>
      <w:r w:rsidR="00B335A3" w:rsidRPr="003A1FE1">
        <w:rPr>
          <w:rFonts w:hAnsi="標楷體" w:hint="eastAsia"/>
        </w:rPr>
        <w:t>；</w:t>
      </w:r>
      <w:r w:rsidR="00121031" w:rsidRPr="003A1FE1">
        <w:rPr>
          <w:rFonts w:ascii="Times New Roman"/>
        </w:rPr>
        <w:t>原住民保留地因違法轉租、轉讓不斷流失，最關鍵之處為原住民的經濟問題未獲改善，致使原住民因貧窮被迫違法轉讓、轉租的惡性循環不斷發生，原民會未能正視其嚴重性，且未能確實建立妥善的金融配套措施，協助原住民能在自己的土地上發展產業解決生計問題</w:t>
      </w:r>
      <w:r w:rsidR="00B335A3" w:rsidRPr="003A1FE1">
        <w:rPr>
          <w:rFonts w:hAnsi="標楷體" w:hint="eastAsia"/>
          <w:b/>
          <w:bCs/>
        </w:rPr>
        <w:t>，</w:t>
      </w:r>
      <w:r w:rsidRPr="003A1FE1">
        <w:rPr>
          <w:rFonts w:hint="eastAsia"/>
        </w:rPr>
        <w:t>核有違失，爰依監察法第24條規定提案糾正，移送行政院轉飭所屬確實檢討改善見復</w:t>
      </w:r>
      <w:r w:rsidR="00286B1B" w:rsidRPr="003A1FE1">
        <w:rPr>
          <w:rFonts w:hint="eastAsia"/>
        </w:rPr>
        <w:t>。</w:t>
      </w:r>
    </w:p>
    <w:p w:rsidR="00286B1B" w:rsidRPr="003A1FE1" w:rsidRDefault="00F3211D" w:rsidP="00DB0327">
      <w:pPr>
        <w:pStyle w:val="aa"/>
        <w:spacing w:beforeLines="50" w:after="0"/>
        <w:ind w:leftChars="125" w:left="3117" w:hangingChars="606" w:hanging="2692"/>
        <w:rPr>
          <w:b w:val="0"/>
          <w:bCs/>
          <w:snapToGrid/>
          <w:spacing w:val="12"/>
          <w:kern w:val="0"/>
          <w:sz w:val="40"/>
        </w:rPr>
      </w:pPr>
      <w:bookmarkStart w:id="45" w:name="_Toc524895649"/>
      <w:bookmarkStart w:id="46" w:name="_Toc524896195"/>
      <w:bookmarkStart w:id="47" w:name="_Toc524896225"/>
      <w:bookmarkEnd w:id="45"/>
      <w:bookmarkEnd w:id="46"/>
      <w:bookmarkEnd w:id="47"/>
      <w:r>
        <w:rPr>
          <w:rFonts w:hint="eastAsia"/>
          <w:b w:val="0"/>
          <w:bCs/>
          <w:snapToGrid/>
          <w:spacing w:val="12"/>
          <w:kern w:val="0"/>
          <w:sz w:val="40"/>
        </w:rPr>
        <w:t xml:space="preserve">     </w:t>
      </w:r>
    </w:p>
    <w:p w:rsidR="00286B1B" w:rsidRPr="003A1FE1" w:rsidRDefault="00286B1B" w:rsidP="00DB0327">
      <w:pPr>
        <w:pStyle w:val="aa"/>
        <w:spacing w:beforeLines="50" w:after="0"/>
        <w:ind w:leftChars="1100" w:left="3742"/>
        <w:rPr>
          <w:b w:val="0"/>
          <w:bCs/>
          <w:snapToGrid/>
          <w:spacing w:val="0"/>
          <w:kern w:val="0"/>
        </w:rPr>
      </w:pPr>
    </w:p>
    <w:p w:rsidR="00286B1B" w:rsidRPr="003A1FE1" w:rsidRDefault="00286B1B" w:rsidP="00DB0327">
      <w:pPr>
        <w:pStyle w:val="aa"/>
        <w:spacing w:beforeLines="50" w:after="0"/>
        <w:ind w:leftChars="1100" w:left="3742"/>
        <w:rPr>
          <w:b w:val="0"/>
          <w:bCs/>
          <w:snapToGrid/>
          <w:spacing w:val="0"/>
          <w:kern w:val="0"/>
        </w:rPr>
      </w:pPr>
    </w:p>
    <w:p w:rsidR="00286B1B" w:rsidRPr="003A1FE1" w:rsidRDefault="00286B1B" w:rsidP="00DB0327">
      <w:pPr>
        <w:pStyle w:val="aa"/>
        <w:spacing w:beforeLines="50" w:after="0"/>
        <w:ind w:leftChars="1100" w:left="3742"/>
        <w:rPr>
          <w:b w:val="0"/>
          <w:bCs/>
          <w:snapToGrid/>
          <w:spacing w:val="0"/>
          <w:kern w:val="0"/>
        </w:rPr>
      </w:pPr>
    </w:p>
    <w:bookmarkEnd w:id="0"/>
    <w:bookmarkEnd w:id="44"/>
    <w:p w:rsidR="00A231D3" w:rsidRPr="003A1FE1" w:rsidRDefault="00A231D3" w:rsidP="00C86866">
      <w:pPr>
        <w:pStyle w:val="af1"/>
        <w:ind w:left="2381" w:hangingChars="700" w:hanging="2381"/>
      </w:pPr>
    </w:p>
    <w:sectPr w:rsidR="00A231D3" w:rsidRPr="003A1FE1" w:rsidSect="00EB5F9A">
      <w:footerReference w:type="default" r:id="rId11"/>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38B" w:rsidRDefault="00E1038B">
      <w:r>
        <w:separator/>
      </w:r>
    </w:p>
  </w:endnote>
  <w:endnote w:type="continuationSeparator" w:id="0">
    <w:p w:rsidR="00E1038B" w:rsidRDefault="00E1038B">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7193646"/>
      <w:docPartObj>
        <w:docPartGallery w:val="Page Numbers (Bottom of Page)"/>
        <w:docPartUnique/>
      </w:docPartObj>
    </w:sdtPr>
    <w:sdtContent>
      <w:p w:rsidR="00B25F84" w:rsidRDefault="004456F1">
        <w:pPr>
          <w:pStyle w:val="af4"/>
          <w:jc w:val="center"/>
        </w:pPr>
        <w:r>
          <w:fldChar w:fldCharType="begin"/>
        </w:r>
        <w:r w:rsidR="00B25F84">
          <w:instrText>PAGE   \* MERGEFORMAT</w:instrText>
        </w:r>
        <w:r>
          <w:fldChar w:fldCharType="separate"/>
        </w:r>
        <w:r w:rsidR="00DB0327" w:rsidRPr="00DB0327">
          <w:rPr>
            <w:noProof/>
            <w:lang w:val="zh-TW"/>
          </w:rPr>
          <w:t>20</w:t>
        </w:r>
        <w:r>
          <w:fldChar w:fldCharType="end"/>
        </w:r>
      </w:p>
    </w:sdtContent>
  </w:sdt>
  <w:p w:rsidR="00B25F84" w:rsidRDefault="00B25F84">
    <w:pPr>
      <w:pStyle w:val="af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052011"/>
      <w:docPartObj>
        <w:docPartGallery w:val="Page Numbers (Bottom of Page)"/>
        <w:docPartUnique/>
      </w:docPartObj>
    </w:sdtPr>
    <w:sdtContent>
      <w:p w:rsidR="00B25F84" w:rsidRDefault="004456F1">
        <w:pPr>
          <w:pStyle w:val="af4"/>
          <w:jc w:val="center"/>
        </w:pPr>
        <w:r>
          <w:fldChar w:fldCharType="begin"/>
        </w:r>
        <w:r w:rsidR="00B25F84">
          <w:instrText>PAGE   \* MERGEFORMAT</w:instrText>
        </w:r>
        <w:r>
          <w:fldChar w:fldCharType="separate"/>
        </w:r>
        <w:r w:rsidR="00ED56EB" w:rsidRPr="00ED56EB">
          <w:rPr>
            <w:noProof/>
            <w:lang w:val="zh-TW"/>
          </w:rPr>
          <w:t>27</w:t>
        </w:r>
        <w:r>
          <w:fldChar w:fldCharType="end"/>
        </w:r>
      </w:p>
    </w:sdtContent>
  </w:sdt>
  <w:p w:rsidR="00B25F84" w:rsidRPr="00EB5F9A" w:rsidRDefault="00B25F84" w:rsidP="00EB5F9A">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38B" w:rsidRDefault="00E1038B">
      <w:r>
        <w:separator/>
      </w:r>
    </w:p>
  </w:footnote>
  <w:footnote w:type="continuationSeparator" w:id="0">
    <w:p w:rsidR="00E1038B" w:rsidRDefault="00E1038B">
      <w:r>
        <w:continuationSeparator/>
      </w:r>
    </w:p>
  </w:footnote>
  <w:footnote w:id="1">
    <w:p w:rsidR="00B25F84" w:rsidRDefault="00B25F84" w:rsidP="00E310BA">
      <w:pPr>
        <w:pStyle w:val="afc"/>
        <w:ind w:left="167" w:hangingChars="76" w:hanging="167"/>
      </w:pPr>
      <w:r>
        <w:rPr>
          <w:rStyle w:val="afe"/>
        </w:rPr>
        <w:footnoteRef/>
      </w:r>
      <w:r w:rsidRPr="00673092">
        <w:rPr>
          <w:rFonts w:hint="eastAsia"/>
        </w:rPr>
        <w:t>立法</w:t>
      </w:r>
      <w:r>
        <w:rPr>
          <w:rFonts w:hint="eastAsia"/>
        </w:rPr>
        <w:t>院公</w:t>
      </w:r>
      <w:r w:rsidRPr="00673092">
        <w:rPr>
          <w:rFonts w:hint="eastAsia"/>
        </w:rPr>
        <w:t>報第</w:t>
      </w:r>
      <w:r>
        <w:rPr>
          <w:rFonts w:hint="eastAsia"/>
        </w:rPr>
        <w:t>74</w:t>
      </w:r>
      <w:r w:rsidRPr="00673092">
        <w:rPr>
          <w:rFonts w:hint="eastAsia"/>
        </w:rPr>
        <w:t>卷第</w:t>
      </w:r>
      <w:r>
        <w:rPr>
          <w:rFonts w:hint="eastAsia"/>
        </w:rPr>
        <w:t>98</w:t>
      </w:r>
      <w:r w:rsidRPr="00673092">
        <w:rPr>
          <w:rFonts w:hint="eastAsia"/>
        </w:rPr>
        <w:t>期</w:t>
      </w:r>
      <w:r>
        <w:rPr>
          <w:rFonts w:hint="eastAsia"/>
        </w:rPr>
        <w:t>，第</w:t>
      </w:r>
      <w:r>
        <w:rPr>
          <w:rFonts w:hint="eastAsia"/>
        </w:rPr>
        <w:t>10</w:t>
      </w:r>
      <w:r>
        <w:rPr>
          <w:rFonts w:hint="eastAsia"/>
        </w:rPr>
        <w:t>頁。</w:t>
      </w:r>
    </w:p>
  </w:footnote>
  <w:footnote w:id="2">
    <w:p w:rsidR="00B25F84" w:rsidRDefault="00B25F84" w:rsidP="00E310BA">
      <w:pPr>
        <w:pStyle w:val="afc"/>
        <w:ind w:left="167" w:hangingChars="76" w:hanging="167"/>
      </w:pPr>
      <w:r>
        <w:rPr>
          <w:rStyle w:val="afe"/>
        </w:rPr>
        <w:footnoteRef/>
      </w:r>
      <w:r w:rsidRPr="00321696">
        <w:rPr>
          <w:rFonts w:hint="eastAsia"/>
        </w:rPr>
        <w:t>原名</w:t>
      </w:r>
      <w:r w:rsidRPr="00F225A6">
        <w:rPr>
          <w:rFonts w:ascii="標楷體" w:hAnsi="標楷體" w:hint="eastAsia"/>
        </w:rPr>
        <w:t>稱「山胞保留地開發管理辦法」</w:t>
      </w:r>
      <w:r>
        <w:rPr>
          <w:rFonts w:ascii="標楷體" w:hAnsi="標楷體" w:hint="eastAsia"/>
        </w:rPr>
        <w:t>，84</w:t>
      </w:r>
      <w:r w:rsidRPr="0086279E">
        <w:rPr>
          <w:rFonts w:ascii="標楷體" w:hAnsi="標楷體" w:hint="eastAsia"/>
        </w:rPr>
        <w:t>年</w:t>
      </w:r>
      <w:r>
        <w:rPr>
          <w:rFonts w:ascii="標楷體" w:hAnsi="標楷體" w:hint="eastAsia"/>
        </w:rPr>
        <w:t>3</w:t>
      </w:r>
      <w:r w:rsidRPr="0086279E">
        <w:rPr>
          <w:rFonts w:ascii="標楷體" w:hAnsi="標楷體" w:hint="eastAsia"/>
        </w:rPr>
        <w:t>月</w:t>
      </w:r>
      <w:r>
        <w:rPr>
          <w:rFonts w:ascii="標楷體" w:hAnsi="標楷體" w:hint="eastAsia"/>
        </w:rPr>
        <w:t>22</w:t>
      </w:r>
      <w:r w:rsidRPr="0086279E">
        <w:rPr>
          <w:rFonts w:ascii="標楷體" w:hAnsi="標楷體" w:hint="eastAsia"/>
        </w:rPr>
        <w:t>日</w:t>
      </w:r>
      <w:r>
        <w:rPr>
          <w:rFonts w:ascii="標楷體" w:hAnsi="標楷體" w:hint="eastAsia"/>
        </w:rPr>
        <w:t>更名</w:t>
      </w:r>
      <w:r w:rsidRPr="00F225A6">
        <w:rPr>
          <w:rFonts w:ascii="標楷體" w:hAnsi="標楷體" w:hint="eastAsia"/>
        </w:rPr>
        <w:t>。</w:t>
      </w:r>
    </w:p>
  </w:footnote>
  <w:footnote w:id="3">
    <w:p w:rsidR="00B25F84" w:rsidRDefault="00B25F84" w:rsidP="00121031">
      <w:pPr>
        <w:pStyle w:val="afc"/>
        <w:ind w:left="167" w:hangingChars="76" w:hanging="167"/>
      </w:pPr>
      <w:r>
        <w:rPr>
          <w:rStyle w:val="afe"/>
        </w:rPr>
        <w:footnoteRef/>
      </w:r>
      <w:r w:rsidRPr="00D90D79">
        <w:rPr>
          <w:rFonts w:hint="eastAsia"/>
          <w:bCs/>
        </w:rPr>
        <w:t>原住民與非原住民簽署讓渡書，原住民將私有原住民保留地使用權實質移轉予非原住民。</w:t>
      </w:r>
    </w:p>
  </w:footnote>
  <w:footnote w:id="4">
    <w:p w:rsidR="00B25F84" w:rsidRDefault="00B25F84" w:rsidP="00121031">
      <w:pPr>
        <w:pStyle w:val="afc"/>
        <w:ind w:left="167" w:hangingChars="76" w:hanging="167"/>
      </w:pPr>
      <w:r>
        <w:rPr>
          <w:rStyle w:val="afe"/>
        </w:rPr>
        <w:footnoteRef/>
      </w:r>
      <w:r w:rsidRPr="00D90D79">
        <w:rPr>
          <w:rFonts w:hint="eastAsia"/>
          <w:bCs/>
        </w:rPr>
        <w:t>形式上符合法律規定，移轉予原住民，但完成交易後，以簽立本票或其他方式，實質讓與非原住民使用。</w:t>
      </w:r>
    </w:p>
  </w:footnote>
  <w:footnote w:id="5">
    <w:p w:rsidR="00B25F84" w:rsidRDefault="00B25F84" w:rsidP="00AA5D9C">
      <w:pPr>
        <w:pStyle w:val="afc"/>
        <w:ind w:left="110" w:hangingChars="50" w:hanging="110"/>
      </w:pPr>
      <w:r>
        <w:rPr>
          <w:rStyle w:val="afe"/>
        </w:rPr>
        <w:footnoteRef/>
      </w:r>
      <w:r w:rsidRPr="00B925AA">
        <w:rPr>
          <w:rFonts w:hint="eastAsia"/>
          <w:color w:val="FF0000"/>
        </w:rPr>
        <w:t>原民會，</w:t>
      </w:r>
      <w:r w:rsidRPr="00B925AA">
        <w:rPr>
          <w:rFonts w:hint="eastAsia"/>
          <w:color w:val="FF0000"/>
        </w:rPr>
        <w:t>104</w:t>
      </w:r>
      <w:r w:rsidRPr="00B925AA">
        <w:rPr>
          <w:rFonts w:hint="eastAsia"/>
          <w:color w:val="FF0000"/>
        </w:rPr>
        <w:t>年</w:t>
      </w:r>
      <w:r w:rsidRPr="00B925AA">
        <w:rPr>
          <w:rFonts w:hint="eastAsia"/>
          <w:color w:val="FF0000"/>
        </w:rPr>
        <w:t>8</w:t>
      </w:r>
      <w:r w:rsidRPr="00B925AA">
        <w:rPr>
          <w:rFonts w:hint="eastAsia"/>
          <w:color w:val="FF0000"/>
        </w:rPr>
        <w:t>月，《</w:t>
      </w:r>
      <w:r w:rsidRPr="00B925AA">
        <w:rPr>
          <w:color w:val="FF0000"/>
        </w:rPr>
        <w:t>「原住民保留地土地政策調查研究</w:t>
      </w:r>
      <w:r w:rsidRPr="00B925AA">
        <w:rPr>
          <w:color w:val="FF0000"/>
        </w:rPr>
        <w:t>-</w:t>
      </w:r>
      <w:r w:rsidRPr="00B925AA">
        <w:rPr>
          <w:color w:val="FF0000"/>
        </w:rPr>
        <w:t>非原住民使用總登記為原住民保留地問題研析」期末報告</w:t>
      </w:r>
      <w:r w:rsidRPr="00B925AA">
        <w:rPr>
          <w:rFonts w:hint="eastAsia"/>
          <w:color w:val="FF0000"/>
        </w:rPr>
        <w:t>》，</w:t>
      </w:r>
      <w:r>
        <w:rPr>
          <w:rFonts w:hint="eastAsia"/>
        </w:rPr>
        <w:t>第</w:t>
      </w:r>
      <w:r>
        <w:rPr>
          <w:rFonts w:ascii="標楷體" w:hAnsi="標楷體" w:hint="eastAsia"/>
        </w:rPr>
        <w:t>150</w:t>
      </w:r>
      <w:r w:rsidRPr="002C19F8">
        <w:rPr>
          <w:rFonts w:ascii="標楷體" w:hAnsi="標楷體" w:hint="eastAsia"/>
        </w:rPr>
        <w:t>頁</w:t>
      </w:r>
      <w:r>
        <w:rPr>
          <w:rFonts w:hint="eastAsia"/>
        </w:rPr>
        <w:t>。</w:t>
      </w:r>
    </w:p>
  </w:footnote>
  <w:footnote w:id="6">
    <w:p w:rsidR="00B25F84" w:rsidRPr="00854BC1" w:rsidRDefault="00B25F84" w:rsidP="00AA5D9C">
      <w:pPr>
        <w:pStyle w:val="afc"/>
        <w:ind w:left="110" w:hangingChars="50" w:hanging="110"/>
      </w:pPr>
      <w:r>
        <w:rPr>
          <w:rStyle w:val="afe"/>
        </w:rPr>
        <w:footnoteRef/>
      </w:r>
      <w:r w:rsidRPr="00B925AA">
        <w:rPr>
          <w:rFonts w:hint="eastAsia"/>
          <w:color w:val="FF0000"/>
        </w:rPr>
        <w:t>原民會，</w:t>
      </w:r>
      <w:r w:rsidRPr="00B925AA">
        <w:rPr>
          <w:rFonts w:hint="eastAsia"/>
          <w:color w:val="FF0000"/>
        </w:rPr>
        <w:t>104</w:t>
      </w:r>
      <w:r w:rsidRPr="00B925AA">
        <w:rPr>
          <w:rFonts w:hint="eastAsia"/>
          <w:color w:val="FF0000"/>
        </w:rPr>
        <w:t>年</w:t>
      </w:r>
      <w:r w:rsidRPr="00B925AA">
        <w:rPr>
          <w:rFonts w:hint="eastAsia"/>
          <w:color w:val="FF0000"/>
        </w:rPr>
        <w:t>8</w:t>
      </w:r>
      <w:r w:rsidRPr="00B925AA">
        <w:rPr>
          <w:rFonts w:hint="eastAsia"/>
          <w:color w:val="FF0000"/>
        </w:rPr>
        <w:t>月，《</w:t>
      </w:r>
      <w:r w:rsidRPr="00B925AA">
        <w:rPr>
          <w:color w:val="FF0000"/>
        </w:rPr>
        <w:t>「原住民保留地土地政策調查研究</w:t>
      </w:r>
      <w:r w:rsidRPr="00B925AA">
        <w:rPr>
          <w:color w:val="FF0000"/>
        </w:rPr>
        <w:t>-</w:t>
      </w:r>
      <w:r w:rsidRPr="00B925AA">
        <w:rPr>
          <w:color w:val="FF0000"/>
        </w:rPr>
        <w:t>非原住民使用總登記為原住民保留地問題研析」期末報告</w:t>
      </w:r>
      <w:r w:rsidRPr="00B925AA">
        <w:rPr>
          <w:rFonts w:hint="eastAsia"/>
          <w:color w:val="FF0000"/>
        </w:rPr>
        <w:t>》，</w:t>
      </w:r>
      <w:r w:rsidRPr="00854BC1">
        <w:rPr>
          <w:rFonts w:hint="eastAsia"/>
        </w:rPr>
        <w:t>第</w:t>
      </w:r>
      <w:r w:rsidRPr="00854BC1">
        <w:rPr>
          <w:rFonts w:hint="eastAsia"/>
        </w:rPr>
        <w:t>41-52</w:t>
      </w:r>
      <w:r w:rsidRPr="00854BC1">
        <w:rPr>
          <w:rFonts w:hint="eastAsia"/>
        </w:rPr>
        <w:t>頁。</w:t>
      </w:r>
    </w:p>
  </w:footnote>
  <w:footnote w:id="7">
    <w:p w:rsidR="00B25F84" w:rsidRDefault="00B25F84" w:rsidP="00121031">
      <w:pPr>
        <w:pStyle w:val="afc"/>
        <w:ind w:left="167" w:hangingChars="76" w:hanging="167"/>
      </w:pPr>
      <w:r>
        <w:rPr>
          <w:rStyle w:val="afe"/>
        </w:rPr>
        <w:footnoteRef/>
      </w:r>
      <w:r>
        <w:rPr>
          <w:rFonts w:hint="eastAsia"/>
        </w:rPr>
        <w:t>包括債務不履行及侵權行為。</w:t>
      </w:r>
    </w:p>
  </w:footnote>
  <w:footnote w:id="8">
    <w:p w:rsidR="00B25F84" w:rsidRDefault="00B25F84" w:rsidP="00121031">
      <w:pPr>
        <w:pStyle w:val="afc"/>
        <w:ind w:left="167" w:hangingChars="76" w:hanging="167"/>
      </w:pPr>
      <w:r>
        <w:rPr>
          <w:rStyle w:val="afe"/>
        </w:rPr>
        <w:footnoteRef/>
      </w:r>
      <w:r w:rsidRPr="00AD2E05">
        <w:t>但必須注意兩件事情：</w:t>
      </w:r>
      <w:r w:rsidRPr="00AD2E05">
        <w:t>(1)</w:t>
      </w:r>
      <w:r w:rsidRPr="00AD2E05">
        <w:t>這樣的方法無法計算到未設定抵押而私下簽訂契約的「交易」行為，因此會有低估的情況；</w:t>
      </w:r>
      <w:r w:rsidRPr="00AD2E05">
        <w:t>(2)</w:t>
      </w:r>
      <w:r w:rsidRPr="00AD2E05">
        <w:t>這樣的方法無法計算到在</w:t>
      </w:r>
      <w:r w:rsidRPr="000864E4">
        <w:rPr>
          <w:rFonts w:ascii="標楷體" w:hAnsi="標楷體"/>
        </w:rPr>
        <w:t>65</w:t>
      </w:r>
      <w:r w:rsidRPr="00AD2E05">
        <w:t>年原住民開始取得保留地所有權之前進行的私下轉租轉讓行為，因此運用此方法進行推估時，需考量推估之地區之發展經驗及與平地資本接觸的時間，以判斷是否此方法是否適用。</w:t>
      </w:r>
    </w:p>
  </w:footnote>
  <w:footnote w:id="9">
    <w:p w:rsidR="00B25F84" w:rsidRPr="005F31E2" w:rsidRDefault="00B25F84" w:rsidP="00121031">
      <w:pPr>
        <w:pStyle w:val="afc"/>
        <w:ind w:left="220" w:hangingChars="100" w:hanging="220"/>
      </w:pPr>
      <w:r>
        <w:rPr>
          <w:rStyle w:val="afe"/>
        </w:rPr>
        <w:footnoteRef/>
      </w:r>
      <w:r>
        <w:rPr>
          <w:rFonts w:hint="eastAsia"/>
        </w:rPr>
        <w:t xml:space="preserve"> </w:t>
      </w:r>
      <w:r>
        <w:rPr>
          <w:rFonts w:hint="eastAsia"/>
        </w:rPr>
        <w:t>一般而言，</w:t>
      </w:r>
      <w:r w:rsidRPr="005F31E2">
        <w:rPr>
          <w:rFonts w:hint="eastAsia"/>
        </w:rPr>
        <w:t>「金融機構」</w:t>
      </w:r>
      <w:r>
        <w:rPr>
          <w:rFonts w:hint="eastAsia"/>
        </w:rPr>
        <w:t>不太可能藉由</w:t>
      </w:r>
      <w:r w:rsidRPr="005F31E2">
        <w:rPr>
          <w:rFonts w:hint="eastAsia"/>
        </w:rPr>
        <w:t>抵押權人</w:t>
      </w:r>
      <w:r>
        <w:rPr>
          <w:rFonts w:hint="eastAsia"/>
        </w:rPr>
        <w:t>身分取得原住民保留地之實質使用權，故本項統計，</w:t>
      </w:r>
      <w:r w:rsidRPr="005F31E2">
        <w:rPr>
          <w:rFonts w:hint="eastAsia"/>
        </w:rPr>
        <w:t>不包含「金融機構」</w:t>
      </w:r>
      <w:r>
        <w:rPr>
          <w:rFonts w:hint="eastAsia"/>
        </w:rPr>
        <w:t>在內</w:t>
      </w:r>
      <w:r w:rsidRPr="005F31E2">
        <w:rPr>
          <w:rFonts w:hint="eastAsia"/>
        </w:rPr>
        <w:t>。</w:t>
      </w:r>
    </w:p>
  </w:footnote>
  <w:footnote w:id="10">
    <w:p w:rsidR="00B25F84" w:rsidRDefault="00B25F84" w:rsidP="00121031">
      <w:pPr>
        <w:pStyle w:val="afc"/>
        <w:ind w:left="167" w:hangingChars="76" w:hanging="167"/>
      </w:pPr>
      <w:r>
        <w:rPr>
          <w:rStyle w:val="afe"/>
        </w:rPr>
        <w:footnoteRef/>
      </w:r>
      <w:r w:rsidRPr="00321696">
        <w:rPr>
          <w:rFonts w:ascii="標楷體" w:hAnsi="標楷體" w:hint="eastAsia"/>
        </w:rPr>
        <w:t>金融機構之授信5P原則，係為求放款之安全性，所依據的原則來審查申貸人，茲說明如下：1.借款戶（people）：強調企業必須以責任感、依約履行債約、償還債務及有效經營企業，來取得銀行的充分信賴，必要時可藉關係戶、介紹人的良好往來保證襯托。2.資金用途（purpose）：主要瞭解貸款資金的運用計畫，是否合理、合情、合法，避免有挪用於不當之用途，或以短支長之現象發生。3.還款來源（payment）：係在強調企業的還款財源與還款期間，短期借款的還款來源來自於營業收入，中長期借款則來自於折舊加當期的利潤。銀行分析還款來源，是依資產轉換型及現金流量型兩種途徑。 資產轉換型主要以應收帳款的控管與存貨的銷售為償還來源，現金流量刑責以營業額、投資理財活動之現金流量來規劃償債來源時點及金額。4.債權保障（protection）：假如借款戶無法履行還款義務，銀行即會依法訴追，因此，借款人應該提供適當的內外部保障，如擔保品、保證人等。5.授信展望（perspective）：基本上銀行在承貸時，會預估貸放後的基本風險和預期之報酬，一般稱為授信展望，而在評估借款戶的未來展望與願景時，旨在強調企業所屬產業未來的展望與企業本身未來的發展性如何。</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252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DFA2420"/>
    <w:multiLevelType w:val="hybridMultilevel"/>
    <w:tmpl w:val="A8A443A6"/>
    <w:lvl w:ilvl="0" w:tplc="135059D4">
      <w:start w:val="1"/>
      <w:numFmt w:val="decimal"/>
      <w:lvlText w:val="%1."/>
      <w:lvlJc w:val="left"/>
      <w:pPr>
        <w:ind w:left="1545" w:hanging="375"/>
      </w:pPr>
      <w:rPr>
        <w:rFonts w:hint="default"/>
      </w:rPr>
    </w:lvl>
    <w:lvl w:ilvl="1" w:tplc="04090019" w:tentative="1">
      <w:start w:val="1"/>
      <w:numFmt w:val="ideographTraditional"/>
      <w:lvlText w:val="%2、"/>
      <w:lvlJc w:val="left"/>
      <w:pPr>
        <w:ind w:left="2130" w:hanging="480"/>
      </w:pPr>
    </w:lvl>
    <w:lvl w:ilvl="2" w:tplc="0409001B" w:tentative="1">
      <w:start w:val="1"/>
      <w:numFmt w:val="lowerRoman"/>
      <w:lvlText w:val="%3."/>
      <w:lvlJc w:val="right"/>
      <w:pPr>
        <w:ind w:left="2610" w:hanging="480"/>
      </w:pPr>
    </w:lvl>
    <w:lvl w:ilvl="3" w:tplc="0409000F" w:tentative="1">
      <w:start w:val="1"/>
      <w:numFmt w:val="decimal"/>
      <w:lvlText w:val="%4."/>
      <w:lvlJc w:val="left"/>
      <w:pPr>
        <w:ind w:left="3090" w:hanging="480"/>
      </w:pPr>
    </w:lvl>
    <w:lvl w:ilvl="4" w:tplc="04090019" w:tentative="1">
      <w:start w:val="1"/>
      <w:numFmt w:val="ideographTraditional"/>
      <w:lvlText w:val="%5、"/>
      <w:lvlJc w:val="left"/>
      <w:pPr>
        <w:ind w:left="3570" w:hanging="480"/>
      </w:pPr>
    </w:lvl>
    <w:lvl w:ilvl="5" w:tplc="0409001B" w:tentative="1">
      <w:start w:val="1"/>
      <w:numFmt w:val="lowerRoman"/>
      <w:lvlText w:val="%6."/>
      <w:lvlJc w:val="right"/>
      <w:pPr>
        <w:ind w:left="4050" w:hanging="480"/>
      </w:pPr>
    </w:lvl>
    <w:lvl w:ilvl="6" w:tplc="0409000F" w:tentative="1">
      <w:start w:val="1"/>
      <w:numFmt w:val="decimal"/>
      <w:lvlText w:val="%7."/>
      <w:lvlJc w:val="left"/>
      <w:pPr>
        <w:ind w:left="4530" w:hanging="480"/>
      </w:pPr>
    </w:lvl>
    <w:lvl w:ilvl="7" w:tplc="04090019" w:tentative="1">
      <w:start w:val="1"/>
      <w:numFmt w:val="ideographTraditional"/>
      <w:lvlText w:val="%8、"/>
      <w:lvlJc w:val="left"/>
      <w:pPr>
        <w:ind w:left="5010" w:hanging="480"/>
      </w:pPr>
    </w:lvl>
    <w:lvl w:ilvl="8" w:tplc="0409001B" w:tentative="1">
      <w:start w:val="1"/>
      <w:numFmt w:val="lowerRoman"/>
      <w:lvlText w:val="%9."/>
      <w:lvlJc w:val="right"/>
      <w:pPr>
        <w:ind w:left="5490" w:hanging="480"/>
      </w:pPr>
    </w:lvl>
  </w:abstractNum>
  <w:abstractNum w:abstractNumId="4">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57AB79F2"/>
    <w:multiLevelType w:val="hybridMultilevel"/>
    <w:tmpl w:val="F4643B2C"/>
    <w:lvl w:ilvl="0" w:tplc="DA626F58">
      <w:start w:val="1"/>
      <w:numFmt w:val="taiwaneseCountingThousand"/>
      <w:lvlText w:val="(%1)"/>
      <w:lvlJc w:val="left"/>
      <w:pPr>
        <w:ind w:left="1035" w:hanging="585"/>
      </w:pPr>
      <w:rPr>
        <w:rFonts w:ascii="標楷體" w:eastAsia="標楷體" w:hAnsi="標楷體" w:cs="標楷體"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num w:numId="1">
    <w:abstractNumId w:val="1"/>
  </w:num>
  <w:num w:numId="2">
    <w:abstractNumId w:val="2"/>
  </w:num>
  <w:num w:numId="3">
    <w:abstractNumId w:val="0"/>
  </w:num>
  <w:num w:numId="4">
    <w:abstractNumId w:val="6"/>
  </w:num>
  <w:num w:numId="5">
    <w:abstractNumId w:val="4"/>
  </w:num>
  <w:num w:numId="6">
    <w:abstractNumId w:val="7"/>
  </w:num>
  <w:num w:numId="7">
    <w:abstractNumId w:val="1"/>
  </w:num>
  <w:num w:numId="8">
    <w:abstractNumId w:val="8"/>
  </w:num>
  <w:num w:numId="9">
    <w:abstractNumId w:val="5"/>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mirrorMargins/>
  <w:bordersDoNotSurroundHeader/>
  <w:bordersDoNotSurroundFooter/>
  <w:attachedTemplate r:id="rId1"/>
  <w:stylePaneFormatFilter w:val="1028"/>
  <w:defaultTabStop w:val="0"/>
  <w:drawingGridHorizontalSpacing w:val="170"/>
  <w:drawingGridVerticalSpacing w:val="457"/>
  <w:displayHorizontalDrawingGridEvery w:val="0"/>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102B9F"/>
    <w:rsid w:val="00112637"/>
    <w:rsid w:val="0012001E"/>
    <w:rsid w:val="00121031"/>
    <w:rsid w:val="00126A55"/>
    <w:rsid w:val="0013271D"/>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3C9C"/>
    <w:rsid w:val="0022009E"/>
    <w:rsid w:val="0022425C"/>
    <w:rsid w:val="002246DE"/>
    <w:rsid w:val="00240C19"/>
    <w:rsid w:val="002421B5"/>
    <w:rsid w:val="0025106C"/>
    <w:rsid w:val="00252BC4"/>
    <w:rsid w:val="00254014"/>
    <w:rsid w:val="0026504D"/>
    <w:rsid w:val="00273A2F"/>
    <w:rsid w:val="00277D20"/>
    <w:rsid w:val="00280986"/>
    <w:rsid w:val="00281ECE"/>
    <w:rsid w:val="002831C7"/>
    <w:rsid w:val="002840C6"/>
    <w:rsid w:val="00286B1B"/>
    <w:rsid w:val="00295174"/>
    <w:rsid w:val="00296172"/>
    <w:rsid w:val="00296B92"/>
    <w:rsid w:val="002A2C22"/>
    <w:rsid w:val="002B02EB"/>
    <w:rsid w:val="002C0602"/>
    <w:rsid w:val="002D5C16"/>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3DDE"/>
    <w:rsid w:val="00397956"/>
    <w:rsid w:val="003A1FE1"/>
    <w:rsid w:val="003A5B7B"/>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0572"/>
    <w:rsid w:val="00413F83"/>
    <w:rsid w:val="0041490C"/>
    <w:rsid w:val="00416191"/>
    <w:rsid w:val="00416721"/>
    <w:rsid w:val="00421EF0"/>
    <w:rsid w:val="004224FA"/>
    <w:rsid w:val="00423D07"/>
    <w:rsid w:val="004255DB"/>
    <w:rsid w:val="0044346F"/>
    <w:rsid w:val="004456F1"/>
    <w:rsid w:val="00462CE2"/>
    <w:rsid w:val="0046520A"/>
    <w:rsid w:val="004672AB"/>
    <w:rsid w:val="004714FE"/>
    <w:rsid w:val="00485CDE"/>
    <w:rsid w:val="00495053"/>
    <w:rsid w:val="004A1F59"/>
    <w:rsid w:val="004A29BE"/>
    <w:rsid w:val="004A3225"/>
    <w:rsid w:val="004A33EE"/>
    <w:rsid w:val="004A3AA8"/>
    <w:rsid w:val="004B13C7"/>
    <w:rsid w:val="004B778F"/>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281F"/>
    <w:rsid w:val="005A6DD2"/>
    <w:rsid w:val="005C385D"/>
    <w:rsid w:val="005D3B20"/>
    <w:rsid w:val="005E5C68"/>
    <w:rsid w:val="005E65C0"/>
    <w:rsid w:val="005F0390"/>
    <w:rsid w:val="00612023"/>
    <w:rsid w:val="00614190"/>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96743"/>
    <w:rsid w:val="006D3691"/>
    <w:rsid w:val="006E2DCE"/>
    <w:rsid w:val="006F3563"/>
    <w:rsid w:val="006F42B9"/>
    <w:rsid w:val="006F6103"/>
    <w:rsid w:val="006F72E7"/>
    <w:rsid w:val="00704E00"/>
    <w:rsid w:val="00714CA9"/>
    <w:rsid w:val="007209E7"/>
    <w:rsid w:val="00726182"/>
    <w:rsid w:val="00732329"/>
    <w:rsid w:val="007337CA"/>
    <w:rsid w:val="00734CE4"/>
    <w:rsid w:val="00735123"/>
    <w:rsid w:val="00741837"/>
    <w:rsid w:val="007453E6"/>
    <w:rsid w:val="0075243E"/>
    <w:rsid w:val="00757D2D"/>
    <w:rsid w:val="007666F5"/>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2070"/>
    <w:rsid w:val="008053F5"/>
    <w:rsid w:val="00810198"/>
    <w:rsid w:val="008122F2"/>
    <w:rsid w:val="00815DA8"/>
    <w:rsid w:val="0082194D"/>
    <w:rsid w:val="00826EF5"/>
    <w:rsid w:val="00831693"/>
    <w:rsid w:val="00840104"/>
    <w:rsid w:val="00841FC5"/>
    <w:rsid w:val="00845709"/>
    <w:rsid w:val="008576BD"/>
    <w:rsid w:val="00860463"/>
    <w:rsid w:val="008733DA"/>
    <w:rsid w:val="008850E4"/>
    <w:rsid w:val="008A12F5"/>
    <w:rsid w:val="008B1587"/>
    <w:rsid w:val="008B1B01"/>
    <w:rsid w:val="008B3BCD"/>
    <w:rsid w:val="008B4841"/>
    <w:rsid w:val="008B6DF8"/>
    <w:rsid w:val="008C106C"/>
    <w:rsid w:val="008C10F1"/>
    <w:rsid w:val="008C1E99"/>
    <w:rsid w:val="008D6761"/>
    <w:rsid w:val="008D74D7"/>
    <w:rsid w:val="008E0085"/>
    <w:rsid w:val="008E2AA6"/>
    <w:rsid w:val="008E311B"/>
    <w:rsid w:val="008F46E7"/>
    <w:rsid w:val="008F6F0B"/>
    <w:rsid w:val="00907BA7"/>
    <w:rsid w:val="0091064E"/>
    <w:rsid w:val="00911FC5"/>
    <w:rsid w:val="00931A10"/>
    <w:rsid w:val="00947799"/>
    <w:rsid w:val="00947967"/>
    <w:rsid w:val="00964F1D"/>
    <w:rsid w:val="00965200"/>
    <w:rsid w:val="009668B3"/>
    <w:rsid w:val="00971471"/>
    <w:rsid w:val="009849C2"/>
    <w:rsid w:val="00984D24"/>
    <w:rsid w:val="009858EB"/>
    <w:rsid w:val="009B0046"/>
    <w:rsid w:val="009C1440"/>
    <w:rsid w:val="009C2107"/>
    <w:rsid w:val="009C5D9E"/>
    <w:rsid w:val="009D2C3E"/>
    <w:rsid w:val="009E0625"/>
    <w:rsid w:val="009E3034"/>
    <w:rsid w:val="009E549F"/>
    <w:rsid w:val="009F28A8"/>
    <w:rsid w:val="009F473E"/>
    <w:rsid w:val="009F682A"/>
    <w:rsid w:val="009F7702"/>
    <w:rsid w:val="00A022BE"/>
    <w:rsid w:val="00A231D3"/>
    <w:rsid w:val="00A24C95"/>
    <w:rsid w:val="00A26094"/>
    <w:rsid w:val="00A301BF"/>
    <w:rsid w:val="00A302B2"/>
    <w:rsid w:val="00A331B4"/>
    <w:rsid w:val="00A3484E"/>
    <w:rsid w:val="00A36ADA"/>
    <w:rsid w:val="00A438D8"/>
    <w:rsid w:val="00A473F5"/>
    <w:rsid w:val="00A51763"/>
    <w:rsid w:val="00A51F9D"/>
    <w:rsid w:val="00A5416A"/>
    <w:rsid w:val="00A639F4"/>
    <w:rsid w:val="00A81A32"/>
    <w:rsid w:val="00A835BD"/>
    <w:rsid w:val="00A97B15"/>
    <w:rsid w:val="00AA42D5"/>
    <w:rsid w:val="00AA5D9C"/>
    <w:rsid w:val="00AB2FAB"/>
    <w:rsid w:val="00AB5C14"/>
    <w:rsid w:val="00AC1EE7"/>
    <w:rsid w:val="00AC333F"/>
    <w:rsid w:val="00AC585C"/>
    <w:rsid w:val="00AD1925"/>
    <w:rsid w:val="00AE067D"/>
    <w:rsid w:val="00AF1181"/>
    <w:rsid w:val="00AF2F79"/>
    <w:rsid w:val="00AF4653"/>
    <w:rsid w:val="00AF7DB7"/>
    <w:rsid w:val="00B01401"/>
    <w:rsid w:val="00B25F84"/>
    <w:rsid w:val="00B27121"/>
    <w:rsid w:val="00B335A3"/>
    <w:rsid w:val="00B443E4"/>
    <w:rsid w:val="00B563EA"/>
    <w:rsid w:val="00B60E51"/>
    <w:rsid w:val="00B63A54"/>
    <w:rsid w:val="00B77D18"/>
    <w:rsid w:val="00B8313A"/>
    <w:rsid w:val="00B83C6B"/>
    <w:rsid w:val="00B93503"/>
    <w:rsid w:val="00BA31E8"/>
    <w:rsid w:val="00BA55E0"/>
    <w:rsid w:val="00BA6BD4"/>
    <w:rsid w:val="00BB3752"/>
    <w:rsid w:val="00BB6688"/>
    <w:rsid w:val="00BC26D4"/>
    <w:rsid w:val="00BC64F2"/>
    <w:rsid w:val="00BD7D5D"/>
    <w:rsid w:val="00BF2A42"/>
    <w:rsid w:val="00C03D8C"/>
    <w:rsid w:val="00C055EC"/>
    <w:rsid w:val="00C05CB8"/>
    <w:rsid w:val="00C10DC9"/>
    <w:rsid w:val="00C12FB3"/>
    <w:rsid w:val="00C17341"/>
    <w:rsid w:val="00C24EEF"/>
    <w:rsid w:val="00C25CF6"/>
    <w:rsid w:val="00C26C36"/>
    <w:rsid w:val="00C32768"/>
    <w:rsid w:val="00C431DF"/>
    <w:rsid w:val="00C456BD"/>
    <w:rsid w:val="00C530DC"/>
    <w:rsid w:val="00C5350D"/>
    <w:rsid w:val="00C6123C"/>
    <w:rsid w:val="00C7084D"/>
    <w:rsid w:val="00C7315E"/>
    <w:rsid w:val="00C75895"/>
    <w:rsid w:val="00C80775"/>
    <w:rsid w:val="00C83C9F"/>
    <w:rsid w:val="00C86866"/>
    <w:rsid w:val="00C94840"/>
    <w:rsid w:val="00CA6AC8"/>
    <w:rsid w:val="00CB027F"/>
    <w:rsid w:val="00CC6297"/>
    <w:rsid w:val="00CC7690"/>
    <w:rsid w:val="00CD1986"/>
    <w:rsid w:val="00CE4D5C"/>
    <w:rsid w:val="00CF05DA"/>
    <w:rsid w:val="00CF58EB"/>
    <w:rsid w:val="00D0106E"/>
    <w:rsid w:val="00D03438"/>
    <w:rsid w:val="00D06383"/>
    <w:rsid w:val="00D20E85"/>
    <w:rsid w:val="00D24615"/>
    <w:rsid w:val="00D27557"/>
    <w:rsid w:val="00D37842"/>
    <w:rsid w:val="00D42DC2"/>
    <w:rsid w:val="00D537E1"/>
    <w:rsid w:val="00D55BB2"/>
    <w:rsid w:val="00D6091A"/>
    <w:rsid w:val="00D6695F"/>
    <w:rsid w:val="00D73717"/>
    <w:rsid w:val="00D75644"/>
    <w:rsid w:val="00D81656"/>
    <w:rsid w:val="00D83D87"/>
    <w:rsid w:val="00D86A30"/>
    <w:rsid w:val="00D97CB4"/>
    <w:rsid w:val="00D97DD4"/>
    <w:rsid w:val="00DA5A8A"/>
    <w:rsid w:val="00DB0327"/>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38B"/>
    <w:rsid w:val="00E10454"/>
    <w:rsid w:val="00E112E5"/>
    <w:rsid w:val="00E21CC7"/>
    <w:rsid w:val="00E24D9E"/>
    <w:rsid w:val="00E25849"/>
    <w:rsid w:val="00E30BEA"/>
    <w:rsid w:val="00E310BA"/>
    <w:rsid w:val="00E3197E"/>
    <w:rsid w:val="00E342F8"/>
    <w:rsid w:val="00E351ED"/>
    <w:rsid w:val="00E6034B"/>
    <w:rsid w:val="00E6549E"/>
    <w:rsid w:val="00E65EDE"/>
    <w:rsid w:val="00E70F81"/>
    <w:rsid w:val="00E77055"/>
    <w:rsid w:val="00E77460"/>
    <w:rsid w:val="00E83ABC"/>
    <w:rsid w:val="00E844F2"/>
    <w:rsid w:val="00E92FCB"/>
    <w:rsid w:val="00EA147F"/>
    <w:rsid w:val="00EB5F9A"/>
    <w:rsid w:val="00EC32D5"/>
    <w:rsid w:val="00ED03AB"/>
    <w:rsid w:val="00ED0CAC"/>
    <w:rsid w:val="00ED1CD4"/>
    <w:rsid w:val="00ED1D2B"/>
    <w:rsid w:val="00ED230B"/>
    <w:rsid w:val="00ED56EB"/>
    <w:rsid w:val="00ED64B5"/>
    <w:rsid w:val="00EE7CCA"/>
    <w:rsid w:val="00EF1C33"/>
    <w:rsid w:val="00F16A14"/>
    <w:rsid w:val="00F231DC"/>
    <w:rsid w:val="00F3211D"/>
    <w:rsid w:val="00F362D7"/>
    <w:rsid w:val="00F37D7B"/>
    <w:rsid w:val="00F5314C"/>
    <w:rsid w:val="00F635DD"/>
    <w:rsid w:val="00F6627B"/>
    <w:rsid w:val="00F734F2"/>
    <w:rsid w:val="00F75052"/>
    <w:rsid w:val="00F804D3"/>
    <w:rsid w:val="00F81CD2"/>
    <w:rsid w:val="00F82641"/>
    <w:rsid w:val="00F90F18"/>
    <w:rsid w:val="00F91279"/>
    <w:rsid w:val="00F937E4"/>
    <w:rsid w:val="00F95EE7"/>
    <w:rsid w:val="00FA39E6"/>
    <w:rsid w:val="00FA7BC9"/>
    <w:rsid w:val="00FB0C09"/>
    <w:rsid w:val="00FB378E"/>
    <w:rsid w:val="00FB37F1"/>
    <w:rsid w:val="00FB47C0"/>
    <w:rsid w:val="00FB501B"/>
    <w:rsid w:val="00FB7770"/>
    <w:rsid w:val="00FD3B91"/>
    <w:rsid w:val="00FD576B"/>
    <w:rsid w:val="00FD579E"/>
    <w:rsid w:val="00FE451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標題 1章名"/>
    <w:basedOn w:val="a6"/>
    <w:qFormat/>
    <w:rsid w:val="004F5E57"/>
    <w:pPr>
      <w:numPr>
        <w:numId w:val="7"/>
      </w:numPr>
      <w:outlineLvl w:val="0"/>
    </w:pPr>
    <w:rPr>
      <w:rFonts w:hAnsi="Arial"/>
      <w:bCs/>
      <w:kern w:val="32"/>
      <w:szCs w:val="52"/>
    </w:rPr>
  </w:style>
  <w:style w:type="paragraph" w:styleId="2">
    <w:name w:val="heading 2"/>
    <w:aliases w:val="標題 2節名"/>
    <w:basedOn w:val="a6"/>
    <w:qFormat/>
    <w:rsid w:val="00ED0CAC"/>
    <w:pPr>
      <w:numPr>
        <w:ilvl w:val="1"/>
        <w:numId w:val="7"/>
      </w:numPr>
      <w:ind w:left="1021"/>
      <w:outlineLvl w:val="1"/>
    </w:pPr>
    <w:rPr>
      <w:rFonts w:hAnsi="Arial"/>
      <w:b/>
      <w:bCs/>
      <w:kern w:val="32"/>
      <w:szCs w:val="48"/>
    </w:rPr>
  </w:style>
  <w:style w:type="paragraph" w:styleId="3">
    <w:name w:val="heading 3"/>
    <w:aliases w:val="小節標題,sub pro,--1.1.1.,1.1.1,標題 3 字元 字元"/>
    <w:basedOn w:val="a6"/>
    <w:link w:val="30"/>
    <w:qFormat/>
    <w:rsid w:val="004F5E57"/>
    <w:pPr>
      <w:numPr>
        <w:ilvl w:val="2"/>
        <w:numId w:val="7"/>
      </w:numPr>
      <w:outlineLvl w:val="2"/>
    </w:pPr>
    <w:rPr>
      <w:rFonts w:hAnsi="Arial"/>
      <w:bCs/>
      <w:kern w:val="32"/>
      <w:szCs w:val="36"/>
    </w:rPr>
  </w:style>
  <w:style w:type="paragraph" w:styleId="4">
    <w:name w:val="heading 4"/>
    <w:aliases w:val="表格,一、,H4,--1.,--1,1.1.1.1"/>
    <w:basedOn w:val="a6"/>
    <w:qFormat/>
    <w:rsid w:val="004F5E57"/>
    <w:pPr>
      <w:numPr>
        <w:ilvl w:val="3"/>
        <w:numId w:val="7"/>
      </w:numPr>
      <w:outlineLvl w:val="3"/>
    </w:pPr>
    <w:rPr>
      <w:rFonts w:hAnsi="Arial"/>
      <w:kern w:val="32"/>
      <w:szCs w:val="36"/>
    </w:rPr>
  </w:style>
  <w:style w:type="paragraph" w:styleId="5">
    <w:name w:val="heading 5"/>
    <w:aliases w:val="（一）標題 5,--(1)1,--(1)"/>
    <w:basedOn w:val="a6"/>
    <w:qFormat/>
    <w:rsid w:val="004F5E57"/>
    <w:pPr>
      <w:numPr>
        <w:ilvl w:val="4"/>
        <w:numId w:val="7"/>
      </w:numPr>
      <w:outlineLvl w:val="4"/>
    </w:pPr>
    <w:rPr>
      <w:rFonts w:hAnsi="Arial"/>
      <w:bCs/>
      <w:kern w:val="32"/>
      <w:szCs w:val="36"/>
    </w:rPr>
  </w:style>
  <w:style w:type="paragraph" w:styleId="6">
    <w:name w:val="heading 6"/>
    <w:aliases w:val="參考文獻,ref-items,A,--A,ISO標題 6"/>
    <w:basedOn w:val="a6"/>
    <w:qFormat/>
    <w:rsid w:val="004F5E57"/>
    <w:pPr>
      <w:numPr>
        <w:ilvl w:val="5"/>
        <w:numId w:val="7"/>
      </w:numPr>
      <w:tabs>
        <w:tab w:val="left" w:pos="2094"/>
      </w:tabs>
      <w:outlineLvl w:val="5"/>
    </w:pPr>
    <w:rPr>
      <w:rFonts w:hAnsi="Arial"/>
      <w:kern w:val="32"/>
      <w:szCs w:val="36"/>
    </w:rPr>
  </w:style>
  <w:style w:type="paragraph" w:styleId="7">
    <w:name w:val="heading 7"/>
    <w:aliases w:val="(A),--(a),--a,標題 7-(a)"/>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aliases w:val="卑南壹,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nhideWhenUsed/>
    <w:rsid w:val="00240C19"/>
    <w:pPr>
      <w:overflowPunct/>
      <w:autoSpaceDE/>
      <w:autoSpaceDN/>
      <w:snapToGrid w:val="0"/>
      <w:jc w:val="left"/>
    </w:pPr>
    <w:rPr>
      <w:rFonts w:ascii="Times New Roman"/>
      <w:sz w:val="20"/>
    </w:rPr>
  </w:style>
  <w:style w:type="character" w:customStyle="1" w:styleId="afd">
    <w:name w:val="註腳文字 字元"/>
    <w:basedOn w:val="a7"/>
    <w:link w:val="afc"/>
    <w:rsid w:val="00240C19"/>
    <w:rPr>
      <w:rFonts w:eastAsia="標楷體"/>
      <w:kern w:val="2"/>
    </w:rPr>
  </w:style>
  <w:style w:type="character" w:styleId="afe">
    <w:name w:val="footnote reference"/>
    <w:semiHidden/>
    <w:unhideWhenUsed/>
    <w:rsid w:val="00240C19"/>
    <w:rPr>
      <w:vertAlign w:val="superscript"/>
    </w:rPr>
  </w:style>
  <w:style w:type="character" w:customStyle="1" w:styleId="30">
    <w:name w:val="標題 3 字元"/>
    <w:aliases w:val="小節標題 字元,sub pro 字元,--1.1.1. 字元,1.1.1 字元,標題 3 字元 字元 字元"/>
    <w:link w:val="3"/>
    <w:rsid w:val="00121031"/>
    <w:rPr>
      <w:rFonts w:ascii="標楷體" w:eastAsia="標楷體" w:hAnsi="Arial"/>
      <w:bCs/>
      <w:kern w:val="32"/>
      <w:sz w:val="32"/>
      <w:szCs w:val="36"/>
    </w:rPr>
  </w:style>
  <w:style w:type="character" w:customStyle="1" w:styleId="ae">
    <w:name w:val="頁首 字元"/>
    <w:link w:val="ad"/>
    <w:uiPriority w:val="99"/>
    <w:rsid w:val="00121031"/>
    <w:rPr>
      <w:rFonts w:ascii="標楷體" w:eastAsia="標楷體"/>
      <w:kern w:val="2"/>
    </w:rPr>
  </w:style>
  <w:style w:type="paragraph" w:customStyle="1" w:styleId="aff">
    <w:name w:val="表樣式"/>
    <w:basedOn w:val="a6"/>
    <w:next w:val="a6"/>
    <w:rsid w:val="00121031"/>
    <w:pPr>
      <w:tabs>
        <w:tab w:val="num" w:pos="1440"/>
      </w:tabs>
      <w:overflowPunct/>
      <w:autoSpaceDE/>
      <w:autoSpaceDN/>
      <w:ind w:left="695" w:hanging="695"/>
    </w:pPr>
    <w:rPr>
      <w:kern w:val="0"/>
    </w:rPr>
  </w:style>
  <w:style w:type="paragraph" w:customStyle="1" w:styleId="aff0">
    <w:name w:val="圖樣式"/>
    <w:basedOn w:val="a6"/>
    <w:next w:val="a6"/>
    <w:rsid w:val="00121031"/>
    <w:pPr>
      <w:overflowPunct/>
      <w:autoSpaceDE/>
      <w:autoSpaceDN/>
      <w:ind w:left="400" w:hangingChars="400" w:hanging="400"/>
    </w:pPr>
  </w:style>
  <w:style w:type="character" w:customStyle="1" w:styleId="af5">
    <w:name w:val="頁尾 字元"/>
    <w:link w:val="af4"/>
    <w:uiPriority w:val="99"/>
    <w:rsid w:val="00121031"/>
    <w:rPr>
      <w:rFonts w:ascii="標楷體" w:eastAsia="標楷體"/>
      <w:kern w:val="2"/>
    </w:rPr>
  </w:style>
  <w:style w:type="paragraph" w:styleId="aff1">
    <w:name w:val="caption"/>
    <w:basedOn w:val="a6"/>
    <w:next w:val="a6"/>
    <w:unhideWhenUsed/>
    <w:qFormat/>
    <w:rsid w:val="00121031"/>
    <w:pPr>
      <w:overflowPunct/>
      <w:autoSpaceDE/>
      <w:autoSpaceDN/>
      <w:jc w:val="left"/>
    </w:pPr>
    <w:rPr>
      <w:rFonts w:ascii="Calibri" w:eastAsia="新細明體" w:hAnsi="Calibri"/>
      <w:sz w:val="20"/>
    </w:rPr>
  </w:style>
  <w:style w:type="paragraph" w:styleId="HTML">
    <w:name w:val="HTML Preformatted"/>
    <w:basedOn w:val="a6"/>
    <w:link w:val="HTML0"/>
    <w:uiPriority w:val="99"/>
    <w:semiHidden/>
    <w:unhideWhenUsed/>
    <w:rsid w:val="00121031"/>
    <w:pPr>
      <w:overflowPunct/>
      <w:autoSpaceDE/>
      <w:autoSpaceDN/>
      <w:jc w:val="center"/>
    </w:pPr>
    <w:rPr>
      <w:rFonts w:ascii="Courier New" w:hAnsi="Courier New"/>
      <w:sz w:val="20"/>
    </w:rPr>
  </w:style>
  <w:style w:type="character" w:customStyle="1" w:styleId="HTML0">
    <w:name w:val="HTML 預設格式 字元"/>
    <w:basedOn w:val="a7"/>
    <w:link w:val="HTML"/>
    <w:uiPriority w:val="99"/>
    <w:semiHidden/>
    <w:rsid w:val="00121031"/>
    <w:rPr>
      <w:rFonts w:ascii="Courier New" w:eastAsia="標楷體" w:hAnsi="Courier New"/>
      <w:kern w:val="2"/>
    </w:rPr>
  </w:style>
  <w:style w:type="paragraph" w:styleId="Web">
    <w:name w:val="Normal (Web)"/>
    <w:basedOn w:val="a6"/>
    <w:uiPriority w:val="99"/>
    <w:semiHidden/>
    <w:unhideWhenUsed/>
    <w:rsid w:val="00121031"/>
    <w:pPr>
      <w:overflowPunct/>
      <w:autoSpaceDE/>
      <w:autoSpaceDN/>
      <w:jc w:val="center"/>
    </w:pPr>
    <w:rPr>
      <w:rFonts w:ascii="Times New Roman"/>
      <w:sz w:val="24"/>
      <w:szCs w:val="24"/>
    </w:rPr>
  </w:style>
  <w:style w:type="table" w:customStyle="1" w:styleId="110">
    <w:name w:val="表格格線11"/>
    <w:basedOn w:val="a8"/>
    <w:next w:val="af8"/>
    <w:uiPriority w:val="59"/>
    <w:rsid w:val="00121031"/>
    <w:pPr>
      <w:spacing w:beforeLines="20"/>
    </w:pPr>
    <w:rPr>
      <w:rFonts w:ascii="Calibri" w:hAnsi="Calibri"/>
      <w:kern w:val="2"/>
      <w:sz w:val="24"/>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0" w:qFormat="1"/>
    <w:lsdException w:name="table of figures" w:uiPriority="0"/>
    <w:lsdException w:name="footnote reference" w:uiPriority="0"/>
    <w:lsdException w:name="page number" w:uiPriority="0"/>
    <w:lsdException w:name="endnote text" w:uiPriority="0"/>
    <w:lsdException w:name="Title" w:semiHidden="0" w:uiPriority="10" w:unhideWhenUsed="0" w:qFormat="1"/>
    <w:lsdException w:name="Signature"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標題 1章名"/>
    <w:basedOn w:val="a6"/>
    <w:qFormat/>
    <w:rsid w:val="004F5E57"/>
    <w:pPr>
      <w:numPr>
        <w:numId w:val="7"/>
      </w:numPr>
      <w:outlineLvl w:val="0"/>
    </w:pPr>
    <w:rPr>
      <w:rFonts w:hAnsi="Arial"/>
      <w:bCs/>
      <w:kern w:val="32"/>
      <w:szCs w:val="52"/>
    </w:rPr>
  </w:style>
  <w:style w:type="paragraph" w:styleId="2">
    <w:name w:val="heading 2"/>
    <w:aliases w:val="標題 2節名"/>
    <w:basedOn w:val="a6"/>
    <w:qFormat/>
    <w:rsid w:val="00ED0CAC"/>
    <w:pPr>
      <w:numPr>
        <w:ilvl w:val="1"/>
        <w:numId w:val="7"/>
      </w:numPr>
      <w:ind w:left="1021"/>
      <w:outlineLvl w:val="1"/>
    </w:pPr>
    <w:rPr>
      <w:rFonts w:hAnsi="Arial"/>
      <w:b/>
      <w:bCs/>
      <w:kern w:val="32"/>
      <w:szCs w:val="48"/>
    </w:rPr>
  </w:style>
  <w:style w:type="paragraph" w:styleId="3">
    <w:name w:val="heading 3"/>
    <w:aliases w:val="小節標題,sub pro,--1.1.1.,1.1.1,標題 3 字元 字元"/>
    <w:basedOn w:val="a6"/>
    <w:link w:val="30"/>
    <w:qFormat/>
    <w:rsid w:val="004F5E57"/>
    <w:pPr>
      <w:numPr>
        <w:ilvl w:val="2"/>
        <w:numId w:val="7"/>
      </w:numPr>
      <w:outlineLvl w:val="2"/>
    </w:pPr>
    <w:rPr>
      <w:rFonts w:hAnsi="Arial"/>
      <w:bCs/>
      <w:kern w:val="32"/>
      <w:szCs w:val="36"/>
    </w:rPr>
  </w:style>
  <w:style w:type="paragraph" w:styleId="4">
    <w:name w:val="heading 4"/>
    <w:aliases w:val="表格,一、,H4,--1.,--1,1.1.1.1"/>
    <w:basedOn w:val="a6"/>
    <w:qFormat/>
    <w:rsid w:val="004F5E57"/>
    <w:pPr>
      <w:numPr>
        <w:ilvl w:val="3"/>
        <w:numId w:val="7"/>
      </w:numPr>
      <w:outlineLvl w:val="3"/>
    </w:pPr>
    <w:rPr>
      <w:rFonts w:hAnsi="Arial"/>
      <w:kern w:val="32"/>
      <w:szCs w:val="36"/>
    </w:rPr>
  </w:style>
  <w:style w:type="paragraph" w:styleId="5">
    <w:name w:val="heading 5"/>
    <w:aliases w:val="（一）標題 5,--(1)1,--(1)"/>
    <w:basedOn w:val="a6"/>
    <w:qFormat/>
    <w:rsid w:val="004F5E57"/>
    <w:pPr>
      <w:numPr>
        <w:ilvl w:val="4"/>
        <w:numId w:val="7"/>
      </w:numPr>
      <w:outlineLvl w:val="4"/>
    </w:pPr>
    <w:rPr>
      <w:rFonts w:hAnsi="Arial"/>
      <w:bCs/>
      <w:kern w:val="32"/>
      <w:szCs w:val="36"/>
    </w:rPr>
  </w:style>
  <w:style w:type="paragraph" w:styleId="6">
    <w:name w:val="heading 6"/>
    <w:aliases w:val="參考文獻,ref-items,A,--A,ISO標題 6"/>
    <w:basedOn w:val="a6"/>
    <w:qFormat/>
    <w:rsid w:val="004F5E57"/>
    <w:pPr>
      <w:numPr>
        <w:ilvl w:val="5"/>
        <w:numId w:val="7"/>
      </w:numPr>
      <w:tabs>
        <w:tab w:val="left" w:pos="2094"/>
      </w:tabs>
      <w:outlineLvl w:val="5"/>
    </w:pPr>
    <w:rPr>
      <w:rFonts w:hAnsi="Arial"/>
      <w:kern w:val="32"/>
      <w:szCs w:val="36"/>
    </w:rPr>
  </w:style>
  <w:style w:type="paragraph" w:styleId="7">
    <w:name w:val="heading 7"/>
    <w:aliases w:val="(A),--(a),--a,標題 7-(a)"/>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link w:val="ae"/>
    <w:uiPriority w:val="99"/>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link w:val="af5"/>
    <w:uiPriority w:val="99"/>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9">
    <w:name w:val="List Paragraph"/>
    <w:aliases w:val="卑南壹,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nhideWhenUsed/>
    <w:rsid w:val="00240C19"/>
    <w:pPr>
      <w:overflowPunct/>
      <w:autoSpaceDE/>
      <w:autoSpaceDN/>
      <w:snapToGrid w:val="0"/>
      <w:jc w:val="left"/>
    </w:pPr>
    <w:rPr>
      <w:rFonts w:ascii="Times New Roman"/>
      <w:sz w:val="20"/>
    </w:rPr>
  </w:style>
  <w:style w:type="character" w:customStyle="1" w:styleId="afd">
    <w:name w:val="註腳文字 字元"/>
    <w:basedOn w:val="a7"/>
    <w:link w:val="afc"/>
    <w:rsid w:val="00240C19"/>
    <w:rPr>
      <w:rFonts w:eastAsia="標楷體"/>
      <w:kern w:val="2"/>
    </w:rPr>
  </w:style>
  <w:style w:type="character" w:styleId="afe">
    <w:name w:val="footnote reference"/>
    <w:semiHidden/>
    <w:unhideWhenUsed/>
    <w:rsid w:val="00240C19"/>
    <w:rPr>
      <w:vertAlign w:val="superscript"/>
    </w:rPr>
  </w:style>
  <w:style w:type="character" w:customStyle="1" w:styleId="30">
    <w:name w:val="標題 3 字元"/>
    <w:aliases w:val="小節標題 字元,sub pro 字元,--1.1.1. 字元,1.1.1 字元,標題 3 字元 字元 字元"/>
    <w:link w:val="3"/>
    <w:rsid w:val="00121031"/>
    <w:rPr>
      <w:rFonts w:ascii="標楷體" w:eastAsia="標楷體" w:hAnsi="Arial"/>
      <w:bCs/>
      <w:kern w:val="32"/>
      <w:sz w:val="32"/>
      <w:szCs w:val="36"/>
    </w:rPr>
  </w:style>
  <w:style w:type="character" w:customStyle="1" w:styleId="ae">
    <w:name w:val="頁首 字元"/>
    <w:link w:val="ad"/>
    <w:uiPriority w:val="99"/>
    <w:rsid w:val="00121031"/>
    <w:rPr>
      <w:rFonts w:ascii="標楷體" w:eastAsia="標楷體"/>
      <w:kern w:val="2"/>
    </w:rPr>
  </w:style>
  <w:style w:type="paragraph" w:customStyle="1" w:styleId="aff">
    <w:name w:val="表樣式"/>
    <w:basedOn w:val="a6"/>
    <w:next w:val="a6"/>
    <w:rsid w:val="00121031"/>
    <w:pPr>
      <w:tabs>
        <w:tab w:val="num" w:pos="1440"/>
      </w:tabs>
      <w:overflowPunct/>
      <w:autoSpaceDE/>
      <w:autoSpaceDN/>
      <w:ind w:left="695" w:hanging="695"/>
    </w:pPr>
    <w:rPr>
      <w:kern w:val="0"/>
    </w:rPr>
  </w:style>
  <w:style w:type="paragraph" w:customStyle="1" w:styleId="aff0">
    <w:name w:val="圖樣式"/>
    <w:basedOn w:val="a6"/>
    <w:next w:val="a6"/>
    <w:rsid w:val="00121031"/>
    <w:pPr>
      <w:overflowPunct/>
      <w:autoSpaceDE/>
      <w:autoSpaceDN/>
      <w:ind w:left="400" w:hangingChars="400" w:hanging="400"/>
    </w:pPr>
  </w:style>
  <w:style w:type="character" w:customStyle="1" w:styleId="af5">
    <w:name w:val="頁尾 字元"/>
    <w:link w:val="af4"/>
    <w:uiPriority w:val="99"/>
    <w:rsid w:val="00121031"/>
    <w:rPr>
      <w:rFonts w:ascii="標楷體" w:eastAsia="標楷體"/>
      <w:kern w:val="2"/>
    </w:rPr>
  </w:style>
  <w:style w:type="paragraph" w:styleId="aff1">
    <w:name w:val="caption"/>
    <w:basedOn w:val="a6"/>
    <w:next w:val="a6"/>
    <w:unhideWhenUsed/>
    <w:qFormat/>
    <w:rsid w:val="00121031"/>
    <w:pPr>
      <w:overflowPunct/>
      <w:autoSpaceDE/>
      <w:autoSpaceDN/>
      <w:jc w:val="left"/>
    </w:pPr>
    <w:rPr>
      <w:rFonts w:ascii="Calibri" w:eastAsia="新細明體" w:hAnsi="Calibri"/>
      <w:sz w:val="20"/>
    </w:rPr>
  </w:style>
  <w:style w:type="paragraph" w:styleId="HTML">
    <w:name w:val="HTML Preformatted"/>
    <w:basedOn w:val="a6"/>
    <w:link w:val="HTML0"/>
    <w:uiPriority w:val="99"/>
    <w:semiHidden/>
    <w:unhideWhenUsed/>
    <w:rsid w:val="00121031"/>
    <w:pPr>
      <w:overflowPunct/>
      <w:autoSpaceDE/>
      <w:autoSpaceDN/>
      <w:jc w:val="center"/>
    </w:pPr>
    <w:rPr>
      <w:rFonts w:ascii="Courier New" w:hAnsi="Courier New"/>
      <w:sz w:val="20"/>
      <w:lang w:val="x-none" w:eastAsia="x-none"/>
    </w:rPr>
  </w:style>
  <w:style w:type="character" w:customStyle="1" w:styleId="HTML0">
    <w:name w:val="HTML 預設格式 字元"/>
    <w:basedOn w:val="a7"/>
    <w:link w:val="HTML"/>
    <w:uiPriority w:val="99"/>
    <w:semiHidden/>
    <w:rsid w:val="00121031"/>
    <w:rPr>
      <w:rFonts w:ascii="Courier New" w:eastAsia="標楷體" w:hAnsi="Courier New"/>
      <w:kern w:val="2"/>
      <w:lang w:val="x-none" w:eastAsia="x-none"/>
    </w:rPr>
  </w:style>
  <w:style w:type="paragraph" w:styleId="Web">
    <w:name w:val="Normal (Web)"/>
    <w:basedOn w:val="a6"/>
    <w:uiPriority w:val="99"/>
    <w:semiHidden/>
    <w:unhideWhenUsed/>
    <w:rsid w:val="00121031"/>
    <w:pPr>
      <w:overflowPunct/>
      <w:autoSpaceDE/>
      <w:autoSpaceDN/>
      <w:jc w:val="center"/>
    </w:pPr>
    <w:rPr>
      <w:rFonts w:ascii="Times New Roman"/>
      <w:sz w:val="24"/>
      <w:szCs w:val="24"/>
    </w:rPr>
  </w:style>
  <w:style w:type="table" w:customStyle="1" w:styleId="110">
    <w:name w:val="表格格線11"/>
    <w:basedOn w:val="a8"/>
    <w:next w:val="af8"/>
    <w:uiPriority w:val="59"/>
    <w:rsid w:val="00121031"/>
    <w:pPr>
      <w:spacing w:beforeLines="20"/>
    </w:pPr>
    <w:rPr>
      <w:rFonts w:ascii="Calibri" w:hAnsi="Calibri"/>
      <w:kern w:val="2"/>
      <w:sz w:val="24"/>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db.lawbank.com.tw/FLAW/FLAWDAT01.aspx?lsid=FL003060" TargetMode="Externa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01DB1-8BA3-4DDE-A1D0-B5B70A4DC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21</Pages>
  <Words>2790</Words>
  <Characters>15905</Characters>
  <Application>Microsoft Office Word</Application>
  <DocSecurity>0</DocSecurity>
  <Lines>132</Lines>
  <Paragraphs>37</Paragraphs>
  <ScaleCrop>false</ScaleCrop>
  <Company>cy</Company>
  <LinksUpToDate>false</LinksUpToDate>
  <CharactersWithSpaces>18658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張桂霖</dc:creator>
  <cp:lastModifiedBy>Administrator</cp:lastModifiedBy>
  <cp:revision>2</cp:revision>
  <cp:lastPrinted>2015-06-11T03:52:00Z</cp:lastPrinted>
  <dcterms:created xsi:type="dcterms:W3CDTF">2016-06-04T02:31:00Z</dcterms:created>
  <dcterms:modified xsi:type="dcterms:W3CDTF">2016-06-04T02:31:00Z</dcterms:modified>
</cp:coreProperties>
</file>